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rPr>
          <w:rFonts w:ascii="楷体" w:hAnsi="楷体" w:eastAsia="楷体"/>
          <w:b/>
          <w:sz w:val="28"/>
        </w:rPr>
      </w:pPr>
      <w:bookmarkStart w:id="0" w:name="_GoBack"/>
      <w:bookmarkEnd w:id="0"/>
      <w:r>
        <w:rPr>
          <w:rFonts w:hint="eastAsia" w:ascii="楷体" w:hAnsi="楷体" w:eastAsia="楷体"/>
          <w:b/>
          <w:sz w:val="28"/>
        </w:rPr>
        <w:t>附件</w:t>
      </w:r>
      <w:r>
        <w:rPr>
          <w:rFonts w:ascii="楷体" w:hAnsi="楷体" w:eastAsia="楷体"/>
          <w:b/>
          <w:sz w:val="28"/>
        </w:rPr>
        <w:t>4</w:t>
      </w:r>
    </w:p>
    <w:p>
      <w:pPr>
        <w:spacing w:line="380" w:lineRule="exact"/>
        <w:ind w:firstLine="720" w:firstLineChars="200"/>
        <w:jc w:val="center"/>
        <w:rPr>
          <w:rFonts w:ascii="华文中宋" w:hAnsi="华文中宋" w:eastAsia="华文中宋"/>
          <w:color w:val="000000"/>
          <w:kern w:val="2"/>
          <w:sz w:val="36"/>
          <w:szCs w:val="36"/>
        </w:rPr>
      </w:pPr>
      <w:r>
        <w:rPr>
          <w:rFonts w:hint="eastAsia" w:ascii="华文中宋" w:hAnsi="华文中宋" w:eastAsia="华文中宋"/>
          <w:color w:val="000000"/>
          <w:kern w:val="2"/>
          <w:sz w:val="36"/>
          <w:szCs w:val="36"/>
        </w:rPr>
        <w:t>中国新闻奖参评作品推荐表</w:t>
      </w:r>
    </w:p>
    <w:tbl>
      <w:tblPr>
        <w:tblStyle w:val="6"/>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
        <w:gridCol w:w="926"/>
        <w:gridCol w:w="85"/>
        <w:gridCol w:w="542"/>
        <w:gridCol w:w="482"/>
        <w:gridCol w:w="1584"/>
        <w:gridCol w:w="624"/>
        <w:gridCol w:w="510"/>
        <w:gridCol w:w="950"/>
        <w:gridCol w:w="42"/>
        <w:gridCol w:w="851"/>
        <w:gridCol w:w="142"/>
        <w:gridCol w:w="42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jc w:val="center"/>
        </w:trPr>
        <w:tc>
          <w:tcPr>
            <w:tcW w:w="1586" w:type="dxa"/>
            <w:gridSpan w:val="4"/>
            <w:vMerge w:val="restart"/>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作品标题</w:t>
            </w:r>
          </w:p>
        </w:tc>
        <w:tc>
          <w:tcPr>
            <w:tcW w:w="4150" w:type="dxa"/>
            <w:gridSpan w:val="5"/>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kern w:val="2"/>
                <w14:textFill>
                  <w14:solidFill>
                    <w14:schemeClr w14:val="tx1"/>
                  </w14:solidFill>
                </w14:textFill>
              </w:rPr>
            </w:pPr>
            <w:r>
              <w:rPr>
                <w:rFonts w:hint="eastAsia" w:ascii="仿宋" w:hAnsi="仿宋" w:eastAsia="仿宋"/>
                <w:b/>
                <w:color w:val="000000" w:themeColor="text1"/>
                <w:kern w:val="2"/>
                <w14:textFill>
                  <w14:solidFill>
                    <w14:schemeClr w14:val="tx1"/>
                  </w14:solidFill>
                </w14:textFill>
              </w:rPr>
              <w:t>赖小民案涉案财物近17亿元已追缴</w:t>
            </w:r>
          </w:p>
        </w:tc>
        <w:tc>
          <w:tcPr>
            <w:tcW w:w="1460" w:type="dxa"/>
            <w:gridSpan w:val="4"/>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参评项目</w:t>
            </w:r>
          </w:p>
        </w:tc>
        <w:tc>
          <w:tcPr>
            <w:tcW w:w="2551" w:type="dxa"/>
            <w:tcBorders>
              <w:top w:val="single" w:color="auto" w:sz="4" w:space="0"/>
              <w:left w:val="single" w:color="auto" w:sz="4" w:space="0"/>
              <w:right w:val="single" w:color="auto" w:sz="4" w:space="0"/>
            </w:tcBorders>
            <w:vAlign w:val="center"/>
          </w:tcPr>
          <w:p>
            <w:pPr>
              <w:snapToGrid w:val="0"/>
              <w:spacing w:line="400" w:lineRule="exact"/>
              <w:jc w:val="center"/>
              <w:rPr>
                <w:rFonts w:ascii="仿宋_GB2312" w:eastAsia="仿宋_GB2312"/>
                <w:b/>
                <w:color w:val="000000" w:themeColor="text1"/>
                <w:sz w:val="28"/>
                <w14:textFill>
                  <w14:solidFill>
                    <w14:schemeClr w14:val="tx1"/>
                  </w14:solidFill>
                </w14:textFill>
              </w:rPr>
            </w:pPr>
            <w:r>
              <w:rPr>
                <w:rFonts w:hint="eastAsia" w:ascii="仿宋" w:hAnsi="仿宋" w:eastAsia="仿宋"/>
                <w:b/>
                <w:color w:val="000000" w:themeColor="text1"/>
                <w:kern w:val="2"/>
                <w14:textFill>
                  <w14:solidFill>
                    <w14:schemeClr w14:val="tx1"/>
                  </w14:solidFill>
                </w14:textFill>
              </w:rPr>
              <w:t>通讯与深度报道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86" w:type="dxa"/>
            <w:gridSpan w:val="4"/>
            <w:vMerge w:val="continue"/>
            <w:vAlign w:val="center"/>
          </w:tcPr>
          <w:p>
            <w:pPr>
              <w:spacing w:line="380" w:lineRule="exact"/>
              <w:jc w:val="center"/>
              <w:rPr>
                <w:rFonts w:ascii="华文中宋" w:hAnsi="华文中宋" w:eastAsia="华文中宋"/>
                <w:sz w:val="28"/>
              </w:rPr>
            </w:pPr>
          </w:p>
        </w:tc>
        <w:tc>
          <w:tcPr>
            <w:tcW w:w="4150" w:type="dxa"/>
            <w:gridSpan w:val="5"/>
            <w:vMerge w:val="continue"/>
            <w:tcBorders>
              <w:top w:val="single" w:color="auto" w:sz="4" w:space="0"/>
              <w:left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893" w:type="dxa"/>
            <w:gridSpan w:val="2"/>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体裁</w:t>
            </w:r>
          </w:p>
        </w:tc>
        <w:tc>
          <w:tcPr>
            <w:tcW w:w="3118" w:type="dxa"/>
            <w:gridSpan w:val="3"/>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kern w:val="2"/>
                <w14:textFill>
                  <w14:solidFill>
                    <w14:schemeClr w14:val="tx1"/>
                  </w14:solidFill>
                </w14:textFill>
              </w:rPr>
            </w:pPr>
            <w:r>
              <w:rPr>
                <w:rFonts w:hint="eastAsia" w:ascii="仿宋" w:hAnsi="仿宋" w:eastAsia="仿宋"/>
                <w:b/>
                <w:color w:val="000000" w:themeColor="text1"/>
                <w:kern w:val="2"/>
                <w14:textFill>
                  <w14:solidFill>
                    <w14:schemeClr w14:val="tx1"/>
                  </w14:solidFill>
                </w14:textFill>
              </w:rPr>
              <w:t>通讯与深度报道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exact"/>
          <w:jc w:val="center"/>
        </w:trPr>
        <w:tc>
          <w:tcPr>
            <w:tcW w:w="1586" w:type="dxa"/>
            <w:gridSpan w:val="4"/>
            <w:vMerge w:val="continue"/>
            <w:vAlign w:val="center"/>
          </w:tcPr>
          <w:p>
            <w:pPr>
              <w:spacing w:line="380" w:lineRule="exact"/>
              <w:jc w:val="center"/>
              <w:rPr>
                <w:rFonts w:ascii="华文中宋" w:hAnsi="华文中宋" w:eastAsia="华文中宋"/>
                <w:sz w:val="28"/>
              </w:rPr>
            </w:pPr>
          </w:p>
        </w:tc>
        <w:tc>
          <w:tcPr>
            <w:tcW w:w="4150" w:type="dxa"/>
            <w:gridSpan w:val="5"/>
            <w:vMerge w:val="continue"/>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893" w:type="dxa"/>
            <w:gridSpan w:val="2"/>
            <w:tcBorders>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语种</w:t>
            </w:r>
          </w:p>
        </w:tc>
        <w:tc>
          <w:tcPr>
            <w:tcW w:w="3118" w:type="dxa"/>
            <w:gridSpan w:val="3"/>
            <w:tcBorders>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kern w:val="2"/>
                <w14:textFill>
                  <w14:solidFill>
                    <w14:schemeClr w14:val="tx1"/>
                  </w14:solidFill>
                </w14:textFill>
              </w:rPr>
            </w:pPr>
            <w:r>
              <w:rPr>
                <w:rFonts w:hint="eastAsia" w:ascii="仿宋" w:hAnsi="仿宋" w:eastAsia="仿宋"/>
                <w:b/>
                <w:color w:val="000000" w:themeColor="text1"/>
                <w:kern w:val="2"/>
                <w14:textFill>
                  <w14:solidFill>
                    <w14:schemeClr w14:val="tx1"/>
                  </w14:solidFill>
                </w14:textFill>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586" w:type="dxa"/>
            <w:gridSpan w:val="4"/>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作者</w:t>
            </w:r>
          </w:p>
          <w:p>
            <w:pPr>
              <w:spacing w:line="400" w:lineRule="exact"/>
              <w:jc w:val="center"/>
              <w:rPr>
                <w:rFonts w:ascii="华文中宋" w:hAnsi="华文中宋" w:eastAsia="华文中宋"/>
                <w:spacing w:val="-12"/>
              </w:rPr>
            </w:pPr>
            <w:r>
              <w:rPr>
                <w:rFonts w:hint="eastAsia" w:ascii="华文中宋" w:hAnsi="华文中宋" w:eastAsia="华文中宋"/>
              </w:rPr>
              <w:t>（主创人员）</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kern w:val="2"/>
                <w14:textFill>
                  <w14:solidFill>
                    <w14:schemeClr w14:val="tx1"/>
                  </w14:solidFill>
                </w14:textFill>
              </w:rPr>
            </w:pPr>
            <w:r>
              <w:rPr>
                <w:rFonts w:hint="eastAsia" w:ascii="仿宋" w:hAnsi="仿宋" w:eastAsia="仿宋"/>
                <w:b/>
                <w:color w:val="000000" w:themeColor="text1"/>
                <w:kern w:val="2"/>
                <w14:textFill>
                  <w14:solidFill>
                    <w14:schemeClr w14:val="tx1"/>
                  </w14:solidFill>
                </w14:textFill>
              </w:rPr>
              <w:t>韩亚栋</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编辑</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kern w:val="2"/>
                <w14:textFill>
                  <w14:solidFill>
                    <w14:schemeClr w14:val="tx1"/>
                  </w14:solidFill>
                </w14:textFill>
              </w:rPr>
            </w:pPr>
            <w:r>
              <w:rPr>
                <w:rFonts w:hint="eastAsia" w:ascii="仿宋" w:hAnsi="仿宋" w:eastAsia="仿宋"/>
                <w:b/>
                <w:color w:val="000000" w:themeColor="text1"/>
                <w:kern w:val="2"/>
                <w14:textFill>
                  <w14:solidFill>
                    <w14:schemeClr w14:val="tx1"/>
                  </w14:solidFill>
                </w14:textFill>
              </w:rPr>
              <w:t>王丹 徐杰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jc w:val="center"/>
        </w:trPr>
        <w:tc>
          <w:tcPr>
            <w:tcW w:w="1586" w:type="dxa"/>
            <w:gridSpan w:val="4"/>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刊播单位</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 w:hAnsi="仿宋" w:eastAsia="仿宋"/>
                <w:b/>
                <w:color w:val="000000" w:themeColor="text1"/>
                <w:kern w:val="2"/>
                <w14:textFill>
                  <w14:solidFill>
                    <w14:schemeClr w14:val="tx1"/>
                  </w14:solidFill>
                </w14:textFill>
              </w:rPr>
            </w:pPr>
            <w:r>
              <w:rPr>
                <w:rFonts w:hint="eastAsia" w:ascii="仿宋" w:hAnsi="仿宋" w:eastAsia="仿宋"/>
                <w:b/>
                <w:color w:val="000000" w:themeColor="text1"/>
                <w:kern w:val="2"/>
                <w14:textFill>
                  <w14:solidFill>
                    <w14:schemeClr w14:val="tx1"/>
                  </w14:solidFill>
                </w14:textFill>
              </w:rPr>
              <w:t>中央纪委国家监委</w:t>
            </w:r>
          </w:p>
          <w:p>
            <w:pPr>
              <w:snapToGrid w:val="0"/>
              <w:spacing w:line="360" w:lineRule="exact"/>
              <w:jc w:val="center"/>
              <w:rPr>
                <w:rFonts w:ascii="仿宋" w:hAnsi="仿宋" w:eastAsia="仿宋"/>
                <w:b/>
                <w:color w:val="000000" w:themeColor="text1"/>
                <w:kern w:val="2"/>
                <w14:textFill>
                  <w14:solidFill>
                    <w14:schemeClr w14:val="tx1"/>
                  </w14:solidFill>
                </w14:textFill>
              </w:rPr>
            </w:pPr>
            <w:r>
              <w:rPr>
                <w:rFonts w:hint="eastAsia" w:ascii="仿宋" w:hAnsi="仿宋" w:eastAsia="仿宋"/>
                <w:b/>
                <w:color w:val="000000" w:themeColor="text1"/>
                <w:kern w:val="2"/>
                <w14:textFill>
                  <w14:solidFill>
                    <w14:schemeClr w14:val="tx1"/>
                  </w14:solidFill>
                </w14:textFill>
              </w:rPr>
              <w:t>新闻传播中心</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刊播日期</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kern w:val="2"/>
                <w14:textFill>
                  <w14:solidFill>
                    <w14:schemeClr w14:val="tx1"/>
                  </w14:solidFill>
                </w14:textFill>
              </w:rPr>
            </w:pPr>
            <w:r>
              <w:rPr>
                <w:rFonts w:hint="eastAsia" w:ascii="仿宋" w:hAnsi="仿宋" w:eastAsia="仿宋"/>
                <w:b/>
                <w:color w:val="000000" w:themeColor="text1"/>
                <w:kern w:val="2"/>
                <w14:textFill>
                  <w14:solidFill>
                    <w14:schemeClr w14:val="tx1"/>
                  </w14:solidFill>
                </w14:textFill>
              </w:rPr>
              <w:t>2020年8月14日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586" w:type="dxa"/>
            <w:gridSpan w:val="4"/>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刊播版</w:t>
            </w:r>
          </w:p>
          <w:p>
            <w:pPr>
              <w:spacing w:line="400" w:lineRule="exact"/>
              <w:jc w:val="center"/>
              <w:rPr>
                <w:rFonts w:ascii="华文中宋" w:hAnsi="华文中宋" w:eastAsia="华文中宋"/>
                <w:sz w:val="28"/>
                <w:szCs w:val="28"/>
              </w:rPr>
            </w:pPr>
            <w:r>
              <w:rPr>
                <w:rFonts w:hint="eastAsia" w:ascii="华文中宋" w:hAnsi="华文中宋" w:eastAsia="华文中宋"/>
              </w:rPr>
              <w:t>(名称和版次)</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kern w:val="2"/>
                <w14:textFill>
                  <w14:solidFill>
                    <w14:schemeClr w14:val="tx1"/>
                  </w14:solidFill>
                </w14:textFill>
              </w:rPr>
            </w:pPr>
            <w:r>
              <w:rPr>
                <w:rFonts w:hint="eastAsia" w:ascii="仿宋" w:hAnsi="仿宋" w:eastAsia="仿宋"/>
                <w:b/>
                <w:color w:val="000000" w:themeColor="text1"/>
                <w:kern w:val="2"/>
                <w14:textFill>
                  <w14:solidFill>
                    <w14:schemeClr w14:val="tx1"/>
                  </w14:solidFill>
                </w14:textFill>
              </w:rPr>
              <w:t>观察 四版</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作品字数</w:t>
            </w:r>
          </w:p>
          <w:p>
            <w:pPr>
              <w:spacing w:line="400" w:lineRule="exact"/>
              <w:jc w:val="center"/>
              <w:rPr>
                <w:rFonts w:ascii="华文中宋" w:hAnsi="华文中宋" w:eastAsia="华文中宋"/>
              </w:rPr>
            </w:pPr>
            <w:r>
              <w:rPr>
                <w:rFonts w:hint="eastAsia" w:ascii="华文中宋" w:hAnsi="华文中宋" w:eastAsia="华文中宋"/>
              </w:rPr>
              <w:t>（时长）</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b/>
                <w:color w:val="000000" w:themeColor="text1"/>
                <w:kern w:val="2"/>
                <w14:textFill>
                  <w14:solidFill>
                    <w14:schemeClr w14:val="tx1"/>
                  </w14:solidFill>
                </w14:textFill>
              </w:rPr>
            </w:pPr>
            <w:r>
              <w:rPr>
                <w:rFonts w:hint="eastAsia" w:ascii="仿宋" w:hAnsi="仿宋" w:eastAsia="仿宋"/>
                <w:b/>
                <w:color w:val="000000" w:themeColor="text1"/>
                <w:kern w:val="2"/>
                <w14:textFill>
                  <w14:solidFill>
                    <w14:schemeClr w14:val="tx1"/>
                  </w14:solidFill>
                </w14:textFill>
              </w:rPr>
              <w:t>3734字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3" w:hRule="exact"/>
          <w:jc w:val="center"/>
        </w:trPr>
        <w:tc>
          <w:tcPr>
            <w:tcW w:w="959" w:type="dxa"/>
            <w:gridSpan w:val="2"/>
            <w:vAlign w:val="center"/>
          </w:tcPr>
          <w:p>
            <w:pPr>
              <w:spacing w:line="300" w:lineRule="exact"/>
              <w:jc w:val="center"/>
              <w:rPr>
                <w:rFonts w:ascii="华文中宋" w:hAnsi="华文中宋" w:eastAsia="华文中宋"/>
              </w:rPr>
            </w:pPr>
            <w:r>
              <w:rPr>
                <w:rFonts w:ascii="华文中宋" w:hAnsi="华文中宋" w:eastAsia="华文中宋"/>
              </w:rPr>
              <w:t xml:space="preserve">  </w:t>
            </w:r>
            <w:r>
              <w:rPr>
                <w:rFonts w:hint="eastAsia" w:ascii="华文中宋" w:hAnsi="华文中宋" w:eastAsia="华文中宋"/>
              </w:rPr>
              <w:t>︵</w:t>
            </w:r>
          </w:p>
          <w:p>
            <w:pPr>
              <w:spacing w:line="300" w:lineRule="exact"/>
              <w:jc w:val="center"/>
              <w:rPr>
                <w:rFonts w:ascii="华文中宋" w:hAnsi="华文中宋" w:eastAsia="华文中宋"/>
              </w:rPr>
            </w:pPr>
            <w:r>
              <w:rPr>
                <w:rFonts w:hint="eastAsia" w:ascii="华文中宋" w:hAnsi="华文中宋" w:eastAsia="华文中宋"/>
              </w:rPr>
              <w:t>采作</w:t>
            </w:r>
          </w:p>
          <w:p>
            <w:pPr>
              <w:spacing w:line="300" w:lineRule="exact"/>
              <w:jc w:val="center"/>
              <w:rPr>
                <w:rFonts w:ascii="华文中宋" w:hAnsi="华文中宋" w:eastAsia="华文中宋"/>
              </w:rPr>
            </w:pPr>
            <w:r>
              <w:rPr>
                <w:rFonts w:hint="eastAsia" w:ascii="华文中宋" w:hAnsi="华文中宋" w:eastAsia="华文中宋"/>
              </w:rPr>
              <w:t>编品</w:t>
            </w:r>
          </w:p>
          <w:p>
            <w:pPr>
              <w:spacing w:line="300" w:lineRule="exact"/>
              <w:jc w:val="center"/>
              <w:rPr>
                <w:rFonts w:ascii="华文中宋" w:hAnsi="华文中宋" w:eastAsia="华文中宋"/>
              </w:rPr>
            </w:pPr>
            <w:r>
              <w:rPr>
                <w:rFonts w:hint="eastAsia" w:ascii="华文中宋" w:hAnsi="华文中宋" w:eastAsia="华文中宋"/>
              </w:rPr>
              <w:t>过简</w:t>
            </w:r>
          </w:p>
          <w:p>
            <w:pPr>
              <w:spacing w:line="300" w:lineRule="exact"/>
              <w:jc w:val="center"/>
              <w:rPr>
                <w:rFonts w:ascii="华文中宋" w:hAnsi="华文中宋" w:eastAsia="华文中宋"/>
              </w:rPr>
            </w:pPr>
            <w:r>
              <w:rPr>
                <w:rFonts w:hint="eastAsia" w:ascii="华文中宋" w:hAnsi="华文中宋" w:eastAsia="华文中宋"/>
              </w:rPr>
              <w:t>程介</w:t>
            </w:r>
          </w:p>
          <w:p>
            <w:pPr>
              <w:spacing w:line="300" w:lineRule="exact"/>
              <w:jc w:val="center"/>
              <w:rPr>
                <w:rFonts w:ascii="华文中宋" w:hAnsi="华文中宋" w:eastAsia="华文中宋"/>
                <w:sz w:val="28"/>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20" w:firstLineChars="200"/>
              <w:rPr>
                <w:rFonts w:ascii="仿宋" w:hAnsi="仿宋" w:eastAsia="仿宋"/>
                <w:color w:val="808080"/>
                <w:kern w:val="2"/>
                <w:sz w:val="21"/>
                <w:szCs w:val="21"/>
              </w:rPr>
            </w:pPr>
          </w:p>
          <w:p>
            <w:pPr>
              <w:widowControl w:val="0"/>
              <w:ind w:firstLine="422" w:firstLineChars="200"/>
              <w:rPr>
                <w:rFonts w:ascii="仿宋" w:hAnsi="仿宋" w:eastAsia="仿宋"/>
                <w:b/>
                <w:color w:val="000000" w:themeColor="text1"/>
                <w:kern w:val="2"/>
                <w:sz w:val="21"/>
                <w:szCs w:val="21"/>
                <w14:textFill>
                  <w14:solidFill>
                    <w14:schemeClr w14:val="tx1"/>
                  </w14:solidFill>
                </w14:textFill>
              </w:rPr>
            </w:pPr>
            <w:r>
              <w:rPr>
                <w:rFonts w:hint="eastAsia" w:ascii="仿宋" w:hAnsi="仿宋" w:eastAsia="仿宋"/>
                <w:b/>
                <w:color w:val="000000" w:themeColor="text1"/>
                <w:kern w:val="2"/>
                <w:sz w:val="21"/>
                <w:szCs w:val="21"/>
                <w14:textFill>
                  <w14:solidFill>
                    <w14:schemeClr w14:val="tx1"/>
                  </w14:solidFill>
                </w14:textFill>
              </w:rPr>
              <w:t>2020年8月，中国华融公司原董事长赖小民一审被控受贿17.88亿元，刷新了中国的贪腐记录。舆论一片哗然。新闻</w:t>
            </w:r>
            <w:r>
              <w:rPr>
                <w:rFonts w:ascii="仿宋" w:hAnsi="仿宋" w:eastAsia="仿宋"/>
                <w:b/>
                <w:color w:val="000000" w:themeColor="text1"/>
                <w:kern w:val="2"/>
                <w:sz w:val="21"/>
                <w:szCs w:val="21"/>
                <w14:textFill>
                  <w14:solidFill>
                    <w14:schemeClr w14:val="tx1"/>
                  </w14:solidFill>
                </w14:textFill>
              </w:rPr>
              <w:t>传播中心编委会</w:t>
            </w:r>
            <w:r>
              <w:rPr>
                <w:rFonts w:hint="eastAsia" w:ascii="仿宋" w:hAnsi="仿宋" w:eastAsia="仿宋"/>
                <w:b/>
                <w:color w:val="000000" w:themeColor="text1"/>
                <w:kern w:val="2"/>
                <w:sz w:val="21"/>
                <w:szCs w:val="21"/>
                <w14:textFill>
                  <w14:solidFill>
                    <w14:schemeClr w14:val="tx1"/>
                  </w14:solidFill>
                </w14:textFill>
              </w:rPr>
              <w:t>作出部署：次日刊发深度报道，回应群众关切。事关中央重大专案，话题敏感，社会关注度高，必须定准音把好度。我们仔细推敲，整理报道思路：赖小民巨额贪腐资产刷新纪录，要分析他岗位的特殊性；涉案财物追缴处置得怎么样，要给公众一个交代；如何防止出现下一个“赖小民”，要追踪以案促改的情况。</w:t>
            </w:r>
          </w:p>
          <w:p>
            <w:pPr>
              <w:widowControl w:val="0"/>
              <w:ind w:firstLine="422" w:firstLineChars="200"/>
              <w:rPr>
                <w:rFonts w:ascii="仿宋" w:hAnsi="仿宋" w:eastAsia="仿宋"/>
                <w:b/>
                <w:color w:val="000000" w:themeColor="text1"/>
                <w:kern w:val="2"/>
                <w:sz w:val="21"/>
                <w:szCs w:val="21"/>
                <w14:textFill>
                  <w14:solidFill>
                    <w14:schemeClr w14:val="tx1"/>
                  </w14:solidFill>
                </w14:textFill>
              </w:rPr>
            </w:pPr>
            <w:r>
              <w:rPr>
                <w:rFonts w:hint="eastAsia" w:ascii="仿宋" w:hAnsi="仿宋" w:eastAsia="仿宋"/>
                <w:b/>
                <w:color w:val="000000" w:themeColor="text1"/>
                <w:kern w:val="2"/>
                <w:sz w:val="21"/>
                <w:szCs w:val="21"/>
                <w14:textFill>
                  <w14:solidFill>
                    <w14:schemeClr w14:val="tx1"/>
                  </w14:solidFill>
                </w14:textFill>
              </w:rPr>
              <w:t>我们抓紧时间联系采访，多条线同步推进，甚至直接给部级领导打了电话，终于辗转联系上赖小民案专案组。关于涉案财物，专案组最初说的是“绝大多数已追缴”，我们刨根究底追问，专案组连夜加班核算，终于挖出了“赖小民案近17亿涉案财物已追缴”的新闻。在紧张的报道中，我们首度披露了赖小民巨额贪腐资产的构成，着眼于其国有金融企业“一把手”的特殊职位剖析巨贪成因，并由此展现党中央深化金融反腐决策之英明、决心之坚定；公布了赖小民涉案财物追缴情况，揭示了纪检机关为之付出的巨大努力；公开了鲜为人知的案件查办过程，专案组坚持查清事实、追赃挽损、防控风险、弥补漏洞、重塑生态同步发力，一体推进不敢腐不能腐不想腐，实现了政治、纪法和社会效果的有机统一。</w:t>
            </w:r>
          </w:p>
          <w:p>
            <w:pPr>
              <w:widowControl w:val="0"/>
              <w:ind w:firstLine="420" w:firstLineChars="200"/>
              <w:rPr>
                <w:rFonts w:ascii="仿宋" w:hAnsi="仿宋" w:eastAsia="仿宋"/>
                <w:color w:val="80808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1" w:hRule="exact"/>
          <w:jc w:val="center"/>
        </w:trPr>
        <w:tc>
          <w:tcPr>
            <w:tcW w:w="959" w:type="dxa"/>
            <w:gridSpan w:val="2"/>
            <w:vAlign w:val="center"/>
          </w:tcPr>
          <w:p>
            <w:pPr>
              <w:widowControl w:val="0"/>
              <w:spacing w:line="300" w:lineRule="exact"/>
              <w:jc w:val="center"/>
              <w:rPr>
                <w:rFonts w:ascii="华文中宋" w:hAnsi="华文中宋" w:eastAsia="华文中宋"/>
              </w:rPr>
            </w:pPr>
            <w:r>
              <w:rPr>
                <w:rFonts w:hint="eastAsia" w:ascii="华文中宋" w:hAnsi="华文中宋" w:eastAsia="华文中宋"/>
              </w:rPr>
              <w:t>全传</w:t>
            </w:r>
          </w:p>
          <w:p>
            <w:pPr>
              <w:widowControl w:val="0"/>
              <w:spacing w:line="300" w:lineRule="exact"/>
              <w:jc w:val="center"/>
              <w:rPr>
                <w:rFonts w:ascii="华文中宋" w:hAnsi="华文中宋" w:eastAsia="华文中宋"/>
              </w:rPr>
            </w:pPr>
            <w:r>
              <w:rPr>
                <w:rFonts w:hint="eastAsia" w:ascii="华文中宋" w:hAnsi="华文中宋" w:eastAsia="华文中宋"/>
              </w:rPr>
              <w:t>媒播</w:t>
            </w:r>
          </w:p>
          <w:p>
            <w:pPr>
              <w:widowControl w:val="0"/>
              <w:spacing w:line="300" w:lineRule="exact"/>
              <w:jc w:val="center"/>
              <w:rPr>
                <w:rFonts w:ascii="华文中宋" w:hAnsi="华文中宋" w:eastAsia="华文中宋"/>
              </w:rPr>
            </w:pPr>
            <w:r>
              <w:rPr>
                <w:rFonts w:hint="eastAsia" w:ascii="华文中宋" w:hAnsi="华文中宋" w:eastAsia="华文中宋"/>
              </w:rPr>
              <w:t>体实</w:t>
            </w:r>
          </w:p>
          <w:p>
            <w:pPr>
              <w:spacing w:line="300" w:lineRule="exact"/>
              <w:jc w:val="center"/>
              <w:rPr>
                <w:rFonts w:ascii="华文中宋" w:hAnsi="华文中宋" w:eastAsia="华文中宋"/>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效</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20" w:firstLineChars="200"/>
              <w:rPr>
                <w:rFonts w:ascii="仿宋" w:hAnsi="仿宋" w:eastAsia="仿宋"/>
                <w:color w:val="808080"/>
                <w:kern w:val="2"/>
                <w:sz w:val="21"/>
                <w:szCs w:val="21"/>
              </w:rPr>
            </w:pPr>
          </w:p>
          <w:p>
            <w:pPr>
              <w:widowControl w:val="0"/>
              <w:ind w:firstLine="422" w:firstLineChars="200"/>
              <w:rPr>
                <w:rFonts w:ascii="仿宋" w:hAnsi="仿宋" w:eastAsia="仿宋"/>
                <w:color w:val="808080"/>
                <w:kern w:val="2"/>
                <w:sz w:val="21"/>
                <w:szCs w:val="21"/>
              </w:rPr>
            </w:pPr>
            <w:r>
              <w:rPr>
                <w:rFonts w:hint="eastAsia" w:ascii="仿宋" w:hAnsi="仿宋" w:eastAsia="仿宋"/>
                <w:b/>
                <w:color w:val="000000" w:themeColor="text1"/>
                <w:kern w:val="2"/>
                <w:sz w:val="21"/>
                <w:szCs w:val="21"/>
                <w14:textFill>
                  <w14:solidFill>
                    <w14:schemeClr w14:val="tx1"/>
                  </w14:solidFill>
                </w14:textFill>
              </w:rPr>
              <w:t>2020年8月14日，报道在中央纪委国家监委报、网、端、微同步刊发，引发舆论高度关注。文章在中央纪委国家监委网站微信公号上阅读量迅速突破10万+，人民日报、新华社、环球时报、人民网、新华网、中国网、澎湃新闻、今日头条、腾讯、新浪、搜狐、网易等500余家网媒推荐转发。多家媒体以《赖小民案涉案财物细节披露》《赖小民案近17亿涉案财物已追缴》等为题转载报道或评论解读。截至8月15日18时，百度搜索“赖小民案涉案财物近17亿元已追缴”，相关信息条目有17万余条，新浪微博相关话题阅读量超3800万人次。网友反应强烈，支持强力追缴，“就是要让贪官感受到‘贪腐必致倾家荡产’”“国家和人民的财产必须全部追回”，并呼吁从该案深入总结教训、查找漏洞、加强监督，“让监督更有力，这样的巨贪不能再有了”“扎紧制度笼子，国家资产不容吞噬”。有跟帖称：“相信党中央，贪官污吏全扫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1" w:hRule="exact"/>
          <w:jc w:val="center"/>
        </w:trPr>
        <w:tc>
          <w:tcPr>
            <w:tcW w:w="959" w:type="dxa"/>
            <w:gridSpan w:val="2"/>
            <w:vAlign w:val="center"/>
          </w:tcPr>
          <w:p>
            <w:pPr>
              <w:spacing w:line="300" w:lineRule="exact"/>
              <w:jc w:val="center"/>
              <w:rPr>
                <w:rFonts w:ascii="华文中宋" w:hAnsi="华文中宋" w:eastAsia="华文中宋"/>
              </w:rPr>
            </w:pPr>
            <w:r>
              <w:rPr>
                <w:rFonts w:hint="eastAsia" w:ascii="华文中宋" w:hAnsi="华文中宋" w:eastAsia="华文中宋"/>
              </w:rPr>
              <w:t>社</w:t>
            </w:r>
          </w:p>
          <w:p>
            <w:pPr>
              <w:spacing w:line="300" w:lineRule="exact"/>
              <w:jc w:val="center"/>
              <w:rPr>
                <w:rFonts w:ascii="华文中宋" w:hAnsi="华文中宋" w:eastAsia="华文中宋"/>
              </w:rPr>
            </w:pPr>
            <w:r>
              <w:rPr>
                <w:rFonts w:hint="eastAsia" w:ascii="华文中宋" w:hAnsi="华文中宋" w:eastAsia="华文中宋"/>
              </w:rPr>
              <w:t>会</w:t>
            </w:r>
          </w:p>
          <w:p>
            <w:pPr>
              <w:spacing w:line="300" w:lineRule="exact"/>
              <w:jc w:val="center"/>
              <w:rPr>
                <w:rFonts w:ascii="华文中宋" w:hAnsi="华文中宋" w:eastAsia="华文中宋"/>
              </w:rPr>
            </w:pPr>
            <w:r>
              <w:rPr>
                <w:rFonts w:hint="eastAsia" w:ascii="华文中宋" w:hAnsi="华文中宋" w:eastAsia="华文中宋"/>
              </w:rPr>
              <w:t>效</w:t>
            </w:r>
          </w:p>
          <w:p>
            <w:pPr>
              <w:spacing w:line="300" w:lineRule="exact"/>
              <w:jc w:val="center"/>
              <w:rPr>
                <w:rFonts w:ascii="华文中宋" w:hAnsi="华文中宋" w:eastAsia="华文中宋"/>
              </w:rPr>
            </w:pPr>
            <w:r>
              <w:rPr>
                <w:rFonts w:hint="eastAsia" w:ascii="华文中宋" w:hAnsi="华文中宋" w:eastAsia="华文中宋"/>
              </w:rPr>
              <w:t>果</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20" w:firstLineChars="200"/>
              <w:rPr>
                <w:rFonts w:ascii="仿宋" w:hAnsi="仿宋" w:eastAsia="仿宋"/>
                <w:color w:val="808080"/>
                <w:kern w:val="2"/>
                <w:sz w:val="21"/>
                <w:szCs w:val="21"/>
              </w:rPr>
            </w:pPr>
          </w:p>
          <w:p>
            <w:pPr>
              <w:widowControl w:val="0"/>
              <w:ind w:firstLine="422" w:firstLineChars="200"/>
              <w:rPr>
                <w:rFonts w:ascii="仿宋" w:hAnsi="仿宋" w:eastAsia="仿宋"/>
                <w:b/>
                <w:color w:val="000000" w:themeColor="text1"/>
                <w:kern w:val="2"/>
                <w:sz w:val="21"/>
                <w:szCs w:val="21"/>
                <w14:textFill>
                  <w14:solidFill>
                    <w14:schemeClr w14:val="tx1"/>
                  </w14:solidFill>
                </w14:textFill>
              </w:rPr>
            </w:pPr>
            <w:r>
              <w:rPr>
                <w:rFonts w:hint="eastAsia" w:ascii="仿宋" w:hAnsi="仿宋" w:eastAsia="仿宋"/>
                <w:b/>
                <w:color w:val="000000" w:themeColor="text1"/>
                <w:kern w:val="2"/>
                <w:sz w:val="21"/>
                <w:szCs w:val="21"/>
                <w14:textFill>
                  <w14:solidFill>
                    <w14:schemeClr w14:val="tx1"/>
                  </w14:solidFill>
                </w14:textFill>
              </w:rPr>
              <w:t>赖小民案涉案财物近17亿元已追缴，舆论支持“不让腐败分子‘一人入狱、全家幸福’”。舆论认为，对涉案财物应追尽追，与对腐败分子应查尽查、应惩尽惩一样，反映了我们党对腐败行为零容忍的鲜明态度，释放出党中央有腐必反、有贪必肃的坚定决心。微信公号“长安街知事”注意到，涉案财物形式不同，追缴方式也有所不同，文章对赖小民17亿余元涉案财物如何追缴进行了详细披露，表明纪检监察机关在追缴涉案财物上付出了巨大努力。微信公号“观政听声”评论，报道主动公开赖小民案涉案财物及追缴情况，传递权威声音，回应社会关切，有力引导舆论，彰显了纪检监察机关主动接受社会监督的高度自觉。</w:t>
            </w:r>
          </w:p>
          <w:p>
            <w:pPr>
              <w:widowControl w:val="0"/>
              <w:ind w:firstLine="422" w:firstLineChars="200"/>
              <w:rPr>
                <w:rFonts w:ascii="仿宋" w:hAnsi="仿宋" w:eastAsia="仿宋"/>
                <w:b/>
                <w:color w:val="000000" w:themeColor="text1"/>
                <w:kern w:val="2"/>
                <w:sz w:val="21"/>
                <w:szCs w:val="21"/>
                <w14:textFill>
                  <w14:solidFill>
                    <w14:schemeClr w14:val="tx1"/>
                  </w14:solidFill>
                </w14:textFill>
              </w:rPr>
            </w:pPr>
            <w:r>
              <w:rPr>
                <w:rFonts w:hint="eastAsia" w:ascii="仿宋" w:hAnsi="仿宋" w:eastAsia="仿宋"/>
                <w:b/>
                <w:color w:val="000000" w:themeColor="text1"/>
                <w:kern w:val="2"/>
                <w:sz w:val="21"/>
                <w:szCs w:val="21"/>
                <w14:textFill>
                  <w14:solidFill>
                    <w14:schemeClr w14:val="tx1"/>
                  </w14:solidFill>
                </w14:textFill>
              </w:rPr>
              <w:t>报道发布后，包括四大国有银行在内的许多金融单位将其作为警示教育素材，在内部刊发传阅，强化使之“不敢”的氛围。赖小民案专案组领导点赞称：“你们报道的是负面题材，传递的却是正能量！”</w:t>
            </w:r>
          </w:p>
          <w:p>
            <w:pPr>
              <w:widowControl w:val="0"/>
              <w:ind w:firstLine="422" w:firstLineChars="200"/>
              <w:rPr>
                <w:rFonts w:ascii="仿宋" w:hAnsi="仿宋" w:eastAsia="仿宋"/>
                <w:color w:val="808080"/>
                <w:kern w:val="2"/>
                <w:sz w:val="21"/>
                <w:szCs w:val="21"/>
              </w:rPr>
            </w:pPr>
            <w:r>
              <w:rPr>
                <w:rFonts w:hint="eastAsia" w:ascii="仿宋" w:hAnsi="仿宋" w:eastAsia="仿宋"/>
                <w:b/>
                <w:color w:val="000000" w:themeColor="text1"/>
                <w:kern w:val="2"/>
                <w:sz w:val="21"/>
                <w:szCs w:val="21"/>
                <w14:textFill>
                  <w14:solidFill>
                    <w14:schemeClr w14:val="tx1"/>
                  </w14:solidFill>
                </w14:textFill>
              </w:rPr>
              <w:t>金融领域腐败往往与金融市场风险交织在一起，一旦处理不当容易诱发系统性风险。报道介绍了赖小民案专案组从查清事实、追赃挽损、防控风险、弥补漏洞、重塑生态五个方面同步发力，一体推进不敢腐不能腐不想腐的工作思路。这也为其他地方部门和单位直面问题、推进金融反腐提供了参考和借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8" w:hRule="exact"/>
          <w:jc w:val="center"/>
        </w:trPr>
        <w:tc>
          <w:tcPr>
            <w:tcW w:w="959" w:type="dxa"/>
            <w:gridSpan w:val="2"/>
            <w:vAlign w:val="center"/>
          </w:tcPr>
          <w:p>
            <w:pPr>
              <w:spacing w:line="300" w:lineRule="exact"/>
              <w:jc w:val="center"/>
              <w:rPr>
                <w:rFonts w:ascii="华文中宋" w:hAnsi="华文中宋" w:eastAsia="华文中宋"/>
              </w:rPr>
            </w:pPr>
            <w:r>
              <w:rPr>
                <w:rFonts w:hint="eastAsia" w:ascii="华文中宋" w:hAnsi="华文中宋" w:eastAsia="华文中宋"/>
              </w:rPr>
              <w:t>推</w:t>
            </w:r>
          </w:p>
          <w:p>
            <w:pPr>
              <w:spacing w:line="300" w:lineRule="exact"/>
              <w:jc w:val="center"/>
              <w:rPr>
                <w:rFonts w:ascii="华文中宋" w:hAnsi="华文中宋" w:eastAsia="华文中宋"/>
              </w:rPr>
            </w:pPr>
            <w:r>
              <w:rPr>
                <w:rFonts w:hint="eastAsia" w:ascii="华文中宋" w:hAnsi="华文中宋" w:eastAsia="华文中宋"/>
              </w:rPr>
              <w:t>荐</w:t>
            </w:r>
          </w:p>
          <w:p>
            <w:pPr>
              <w:spacing w:line="300" w:lineRule="exact"/>
              <w:jc w:val="center"/>
              <w:rPr>
                <w:rFonts w:ascii="华文中宋" w:hAnsi="华文中宋" w:eastAsia="华文中宋"/>
              </w:rPr>
            </w:pPr>
            <w:r>
              <w:rPr>
                <w:rFonts w:hint="eastAsia" w:ascii="华文中宋" w:hAnsi="华文中宋" w:eastAsia="华文中宋"/>
              </w:rPr>
              <w:t>理</w:t>
            </w:r>
          </w:p>
          <w:p>
            <w:pPr>
              <w:spacing w:line="300" w:lineRule="exact"/>
              <w:jc w:val="center"/>
              <w:rPr>
                <w:rFonts w:ascii="华文中宋" w:hAnsi="华文中宋" w:eastAsia="华文中宋"/>
              </w:rPr>
            </w:pPr>
            <w:r>
              <w:rPr>
                <w:rFonts w:hint="eastAsia" w:ascii="华文中宋" w:hAnsi="华文中宋" w:eastAsia="华文中宋"/>
              </w:rPr>
              <w:t>由</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20" w:firstLineChars="200"/>
              <w:rPr>
                <w:rFonts w:ascii="仿宋" w:hAnsi="仿宋" w:eastAsia="仿宋"/>
                <w:color w:val="808080"/>
                <w:kern w:val="2"/>
                <w:sz w:val="21"/>
                <w:szCs w:val="21"/>
              </w:rPr>
            </w:pPr>
          </w:p>
          <w:p>
            <w:pPr>
              <w:widowControl w:val="0"/>
              <w:ind w:firstLine="422" w:firstLineChars="200"/>
              <w:rPr>
                <w:rFonts w:ascii="仿宋" w:hAnsi="仿宋" w:eastAsia="仿宋"/>
                <w:b/>
                <w:color w:val="000000" w:themeColor="text1"/>
                <w:kern w:val="2"/>
                <w:sz w:val="21"/>
                <w:szCs w:val="21"/>
                <w14:textFill>
                  <w14:solidFill>
                    <w14:schemeClr w14:val="tx1"/>
                  </w14:solidFill>
                </w14:textFill>
              </w:rPr>
            </w:pPr>
            <w:r>
              <w:rPr>
                <w:rFonts w:hint="eastAsia" w:ascii="仿宋" w:hAnsi="仿宋" w:eastAsia="仿宋"/>
                <w:b/>
                <w:color w:val="000000" w:themeColor="text1"/>
                <w:kern w:val="2"/>
                <w:sz w:val="21"/>
                <w:szCs w:val="21"/>
                <w14:textFill>
                  <w14:solidFill>
                    <w14:schemeClr w14:val="tx1"/>
                  </w14:solidFill>
                </w14:textFill>
              </w:rPr>
              <w:t>党的十八大以来，反腐败力度空前加大，贪腐官员的级别和数额超越“公众想像”，如何引导好社会情绪，成为必须妥善解决的现实课题。该篇深度报道及时回应社会关切，主动公开赖小民案涉案财物及追缴情况，增加工作透明度，是案件披露与舆论引导协同推进的一次生动尝试。报道生动反映了赖小民案专案组在中央纪委国家监委直接领导下坚持以“三不”一体推进理念深化金融反腐的具体实践，既有舆论导向，又有工作导向。</w:t>
            </w:r>
          </w:p>
          <w:p>
            <w:pPr>
              <w:widowControl w:val="0"/>
              <w:ind w:firstLine="420" w:firstLineChars="200"/>
              <w:rPr>
                <w:rFonts w:ascii="仿宋" w:hAnsi="仿宋" w:eastAsia="仿宋"/>
                <w:color w:val="808080"/>
                <w:kern w:val="2"/>
                <w:sz w:val="21"/>
                <w:szCs w:val="21"/>
              </w:rPr>
            </w:pPr>
          </w:p>
          <w:p>
            <w:pPr>
              <w:spacing w:line="360" w:lineRule="exact"/>
              <w:ind w:firstLine="3864" w:firstLineChars="1400"/>
              <w:rPr>
                <w:rFonts w:ascii="华文中宋" w:hAnsi="华文中宋" w:eastAsia="华文中宋"/>
                <w:spacing w:val="-2"/>
                <w:sz w:val="28"/>
              </w:rPr>
            </w:pPr>
            <w:r>
              <w:rPr>
                <w:rFonts w:hint="eastAsia" w:ascii="华文中宋" w:hAnsi="华文中宋" w:eastAsia="华文中宋"/>
                <w:spacing w:val="-2"/>
                <w:sz w:val="28"/>
              </w:rPr>
              <w:t>签名：</w:t>
            </w:r>
          </w:p>
          <w:p>
            <w:pPr>
              <w:spacing w:line="360" w:lineRule="exact"/>
              <w:ind w:firstLine="5460" w:firstLineChars="1950"/>
              <w:rPr>
                <w:rFonts w:ascii="华文中宋" w:hAnsi="华文中宋" w:eastAsia="华文中宋"/>
                <w:sz w:val="28"/>
              </w:rPr>
            </w:pPr>
            <w:r>
              <w:rPr>
                <w:rFonts w:hint="eastAsia" w:ascii="华文中宋" w:hAnsi="华文中宋" w:eastAsia="华文中宋"/>
                <w:sz w:val="28"/>
              </w:rPr>
              <w:t>（盖单位公章）</w:t>
            </w:r>
          </w:p>
          <w:p>
            <w:pPr>
              <w:spacing w:line="360" w:lineRule="exact"/>
              <w:rPr>
                <w:rFonts w:ascii="仿宋" w:hAnsi="仿宋" w:eastAsia="仿宋"/>
                <w:color w:val="808080"/>
                <w:kern w:val="2"/>
                <w:sz w:val="21"/>
                <w:szCs w:val="21"/>
              </w:rPr>
            </w:pPr>
            <w:r>
              <w:rPr>
                <w:rFonts w:hint="eastAsia" w:ascii="仿宋_GB2312" w:eastAsia="仿宋_GB2312"/>
                <w:sz w:val="28"/>
              </w:rPr>
              <w:t xml:space="preserve">                                      </w:t>
            </w:r>
            <w:r>
              <w:rPr>
                <w:rFonts w:ascii="华文中宋" w:hAnsi="华文中宋" w:eastAsia="华文中宋"/>
                <w:sz w:val="28"/>
              </w:rPr>
              <w:t>20</w:t>
            </w:r>
            <w:r>
              <w:rPr>
                <w:rFonts w:hint="eastAsia" w:ascii="华文中宋" w:hAnsi="华文中宋" w:eastAsia="华文中宋"/>
                <w:sz w:val="28"/>
              </w:rPr>
              <w:t>2</w:t>
            </w:r>
            <w:r>
              <w:rPr>
                <w:rFonts w:ascii="华文中宋" w:hAnsi="华文中宋" w:eastAsia="华文中宋"/>
                <w:sz w:val="28"/>
              </w:rPr>
              <w:t xml:space="preserve">1年  </w:t>
            </w:r>
            <w:r>
              <w:rPr>
                <w:rFonts w:hint="eastAsia" w:ascii="华文中宋" w:hAnsi="华文中宋" w:eastAsia="华文中宋"/>
                <w:sz w:val="28"/>
              </w:rPr>
              <w:t>月</w:t>
            </w:r>
            <w:r>
              <w:rPr>
                <w:rFonts w:ascii="华文中宋" w:hAnsi="华文中宋" w:eastAsia="华文中宋"/>
                <w:sz w:val="28"/>
              </w:rPr>
              <w:t xml:space="preserve">  </w:t>
            </w:r>
            <w:r>
              <w:rPr>
                <w:rFonts w:hint="eastAsia" w:ascii="华文中宋" w:hAnsi="华文中宋" w:eastAsia="华文中宋"/>
                <w:sz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2068"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联系人(作者)</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华文中宋" w:hAnsi="华文中宋" w:eastAsia="华文中宋"/>
                <w:b/>
              </w:rPr>
            </w:pPr>
            <w:r>
              <w:rPr>
                <w:rFonts w:hint="eastAsia" w:ascii="仿宋" w:hAnsi="仿宋" w:eastAsia="仿宋"/>
                <w:b/>
                <w:color w:val="000000" w:themeColor="text1"/>
                <w:kern w:val="2"/>
                <w14:textFill>
                  <w14:solidFill>
                    <w14:schemeClr w14:val="tx1"/>
                  </w14:solidFill>
                </w14:textFill>
              </w:rPr>
              <w:t>韩亚栋</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手机</w:t>
            </w:r>
          </w:p>
        </w:tc>
        <w:tc>
          <w:tcPr>
            <w:tcW w:w="396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b/>
                <w:color w:val="000000" w:themeColor="text1"/>
                <w:kern w:val="2"/>
                <w14:textFill>
                  <w14:solidFill>
                    <w14:schemeClr w14:val="tx1"/>
                  </w14:solidFill>
                </w14:textFill>
              </w:rPr>
            </w:pPr>
            <w:r>
              <w:rPr>
                <w:rFonts w:hint="eastAsia" w:ascii="仿宋" w:hAnsi="仿宋" w:eastAsia="仿宋"/>
                <w:b/>
                <w:color w:val="000000" w:themeColor="text1"/>
                <w:kern w:val="2"/>
                <w14:textFill>
                  <w14:solidFill>
                    <w14:schemeClr w14:val="tx1"/>
                  </w14:solidFill>
                </w14:textFill>
              </w:rPr>
              <w:t>13488713287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3"/>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电话</w:t>
            </w:r>
          </w:p>
        </w:tc>
        <w:tc>
          <w:tcPr>
            <w:tcW w:w="2608" w:type="dxa"/>
            <w:gridSpan w:val="3"/>
            <w:tcBorders>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b/>
                <w:color w:val="000000" w:themeColor="text1"/>
                <w:kern w:val="2"/>
                <w14:textFill>
                  <w14:solidFill>
                    <w14:schemeClr w14:val="tx1"/>
                  </w14:solidFill>
                </w14:textFill>
              </w:rPr>
            </w:pPr>
            <w:r>
              <w:rPr>
                <w:rFonts w:hint="eastAsia" w:ascii="仿宋" w:hAnsi="仿宋" w:eastAsia="仿宋"/>
                <w:b/>
                <w:color w:val="000000" w:themeColor="text1"/>
                <w:kern w:val="2"/>
                <w14:textFill>
                  <w14:solidFill>
                    <w14:schemeClr w14:val="tx1"/>
                  </w14:solidFill>
                </w14:textFill>
              </w:rPr>
              <w:t>010-59594838</w:t>
            </w:r>
          </w:p>
        </w:tc>
        <w:tc>
          <w:tcPr>
            <w:tcW w:w="113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E-mail</w:t>
            </w:r>
          </w:p>
        </w:tc>
        <w:tc>
          <w:tcPr>
            <w:tcW w:w="4961" w:type="dxa"/>
            <w:gridSpan w:val="6"/>
            <w:tcBorders>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b/>
                <w:color w:val="000000" w:themeColor="text1"/>
                <w:kern w:val="2"/>
                <w14:textFill>
                  <w14:solidFill>
                    <w14:schemeClr w14:val="tx1"/>
                  </w14:solidFill>
                </w14:textFill>
              </w:rPr>
            </w:pPr>
            <w:r>
              <w:rPr>
                <w:rFonts w:hint="eastAsia" w:ascii="仿宋" w:hAnsi="仿宋" w:eastAsia="仿宋"/>
                <w:b/>
                <w:color w:val="000000" w:themeColor="text1"/>
                <w:kern w:val="2"/>
                <w14:textFill>
                  <w14:solidFill>
                    <w14:schemeClr w14:val="tx1"/>
                  </w14:solidFill>
                </w14:textFill>
              </w:rPr>
              <w:t>hyd-1987@163.com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3"/>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地址</w:t>
            </w:r>
          </w:p>
        </w:tc>
        <w:tc>
          <w:tcPr>
            <w:tcW w:w="4734" w:type="dxa"/>
            <w:gridSpan w:val="7"/>
            <w:tcBorders>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b/>
                <w:color w:val="000000" w:themeColor="text1"/>
                <w:kern w:val="2"/>
                <w:sz w:val="21"/>
                <w:szCs w:val="21"/>
                <w14:textFill>
                  <w14:solidFill>
                    <w14:schemeClr w14:val="tx1"/>
                  </w14:solidFill>
                </w14:textFill>
              </w:rPr>
            </w:pPr>
            <w:r>
              <w:rPr>
                <w:rFonts w:hint="eastAsia" w:ascii="仿宋" w:hAnsi="仿宋" w:eastAsia="仿宋"/>
                <w:b/>
                <w:color w:val="000000" w:themeColor="text1"/>
                <w:kern w:val="2"/>
                <w:sz w:val="21"/>
                <w:szCs w:val="21"/>
                <w14:textFill>
                  <w14:solidFill>
                    <w14:schemeClr w14:val="tx1"/>
                  </w14:solidFill>
                </w14:textFill>
              </w:rPr>
              <w:t>北京市西城区广安门南街甲2号 新闻</w:t>
            </w:r>
            <w:r>
              <w:rPr>
                <w:rFonts w:ascii="仿宋" w:hAnsi="仿宋" w:eastAsia="仿宋"/>
                <w:b/>
                <w:color w:val="000000" w:themeColor="text1"/>
                <w:kern w:val="2"/>
                <w:sz w:val="21"/>
                <w:szCs w:val="21"/>
                <w14:textFill>
                  <w14:solidFill>
                    <w14:schemeClr w14:val="tx1"/>
                  </w14:solidFill>
                </w14:textFill>
              </w:rPr>
              <w:t>传播中心</w:t>
            </w:r>
          </w:p>
        </w:tc>
        <w:tc>
          <w:tcPr>
            <w:tcW w:w="993"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邮编</w:t>
            </w:r>
          </w:p>
        </w:tc>
        <w:tc>
          <w:tcPr>
            <w:tcW w:w="2976" w:type="dxa"/>
            <w:gridSpan w:val="2"/>
            <w:tcBorders>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b/>
                <w:color w:val="000000" w:themeColor="text1"/>
                <w:kern w:val="2"/>
                <w:sz w:val="21"/>
                <w:szCs w:val="21"/>
                <w14:textFill>
                  <w14:solidFill>
                    <w14:schemeClr w14:val="tx1"/>
                  </w14:solidFill>
                </w14:textFill>
              </w:rPr>
            </w:pPr>
            <w:r>
              <w:rPr>
                <w:rFonts w:hint="eastAsia" w:ascii="仿宋" w:hAnsi="仿宋" w:eastAsia="仿宋"/>
                <w:b/>
                <w:color w:val="000000" w:themeColor="text1"/>
                <w:kern w:val="2"/>
                <w14:textFill>
                  <w14:solidFill>
                    <w14:schemeClr w14:val="tx1"/>
                  </w14:solidFill>
                </w14:textFill>
              </w:rPr>
              <w:t>100053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465" w:hRule="atLeast"/>
          <w:jc w:val="center"/>
        </w:trPr>
        <w:tc>
          <w:tcPr>
            <w:tcW w:w="9714" w:type="dxa"/>
            <w:gridSpan w:val="13"/>
            <w:tcBorders>
              <w:left w:val="nil"/>
              <w:bottom w:val="nil"/>
              <w:right w:val="nil"/>
            </w:tcBorders>
          </w:tcPr>
          <w:p>
            <w:pPr>
              <w:spacing w:line="400" w:lineRule="exact"/>
              <w:rPr>
                <w:rFonts w:ascii="楷体" w:hAnsi="楷体" w:eastAsia="楷体"/>
                <w:sz w:val="28"/>
              </w:rPr>
            </w:pPr>
          </w:p>
        </w:tc>
      </w:tr>
    </w:tbl>
    <w:p/>
    <w:sectPr>
      <w:footerReference r:id="rId4" w:type="default"/>
      <w:head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jc w:val="left"/>
      <w:rPr>
        <w:rFonts w:ascii="楷体" w:hAnsi="楷体" w:eastAsia="楷体"/>
        <w:b/>
        <w:sz w:val="30"/>
        <w:szCs w:val="30"/>
      </w:rPr>
    </w:pPr>
    <w:r>
      <w:rPr>
        <w:rFonts w:hint="eastAsia" w:ascii="楷体" w:hAnsi="楷体" w:eastAsia="楷体"/>
        <w:b/>
        <w:sz w:val="30"/>
        <w:szCs w:val="30"/>
      </w:rPr>
      <w:t>附件8</w:t>
    </w:r>
  </w:p>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8C5"/>
    <w:rsid w:val="00140736"/>
    <w:rsid w:val="003326AC"/>
    <w:rsid w:val="00335BE3"/>
    <w:rsid w:val="003C0514"/>
    <w:rsid w:val="00410D82"/>
    <w:rsid w:val="0079711B"/>
    <w:rsid w:val="00797248"/>
    <w:rsid w:val="007F5B66"/>
    <w:rsid w:val="00AA394D"/>
    <w:rsid w:val="00CB68C5"/>
    <w:rsid w:val="00D95AEB"/>
    <w:rsid w:val="00E17814"/>
    <w:rsid w:val="032C73EB"/>
    <w:rsid w:val="094E74FB"/>
    <w:rsid w:val="0B5C061B"/>
    <w:rsid w:val="132A12FA"/>
    <w:rsid w:val="155B6F81"/>
    <w:rsid w:val="182466C0"/>
    <w:rsid w:val="29DA63A2"/>
    <w:rsid w:val="2A3F3B3F"/>
    <w:rsid w:val="2F126CE7"/>
    <w:rsid w:val="2F73763C"/>
    <w:rsid w:val="32DD66C5"/>
    <w:rsid w:val="36FB2E6F"/>
    <w:rsid w:val="3F936FA4"/>
    <w:rsid w:val="43CF7197"/>
    <w:rsid w:val="43DB56AC"/>
    <w:rsid w:val="49345361"/>
    <w:rsid w:val="58BA54F4"/>
    <w:rsid w:val="5A414D00"/>
    <w:rsid w:val="5B6749AB"/>
    <w:rsid w:val="5C765D37"/>
    <w:rsid w:val="5C8D2393"/>
    <w:rsid w:val="5F4315CD"/>
    <w:rsid w:val="6CD76AA6"/>
    <w:rsid w:val="72A01F15"/>
    <w:rsid w:val="7BC84C62"/>
    <w:rsid w:val="7D0B5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3"/>
    <w:basedOn w:val="1"/>
    <w:link w:val="12"/>
    <w:unhideWhenUsed/>
    <w:qFormat/>
    <w:uiPriority w:val="99"/>
    <w:pPr>
      <w:widowControl w:val="0"/>
      <w:spacing w:after="120"/>
      <w:jc w:val="both"/>
    </w:pPr>
    <w:rPr>
      <w:kern w:val="2"/>
      <w:sz w:val="16"/>
      <w:szCs w:val="16"/>
      <w:lang w:val="zh-CN"/>
    </w:rPr>
  </w:style>
  <w:style w:type="paragraph" w:styleId="3">
    <w:name w:val="Balloon Text"/>
    <w:basedOn w:val="1"/>
    <w:link w:val="14"/>
    <w:semiHidden/>
    <w:unhideWhenUsed/>
    <w:qFormat/>
    <w:uiPriority w:val="99"/>
    <w:rPr>
      <w:sz w:val="18"/>
      <w:szCs w:val="18"/>
    </w:rPr>
  </w:style>
  <w:style w:type="paragraph" w:styleId="4">
    <w:name w:val="footer"/>
    <w:basedOn w:val="1"/>
    <w:link w:val="9"/>
    <w:qFormat/>
    <w:uiPriority w:val="99"/>
    <w:pPr>
      <w:tabs>
        <w:tab w:val="center" w:pos="4153"/>
        <w:tab w:val="right" w:pos="8306"/>
      </w:tabs>
      <w:snapToGrid w:val="0"/>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lang w:val="zh-CN"/>
    </w:rPr>
  </w:style>
  <w:style w:type="character" w:customStyle="1" w:styleId="8">
    <w:name w:val="页脚 Char"/>
    <w:basedOn w:val="7"/>
    <w:semiHidden/>
    <w:qFormat/>
    <w:uiPriority w:val="99"/>
    <w:rPr>
      <w:rFonts w:ascii="Times New Roman" w:hAnsi="Times New Roman" w:eastAsia="宋体" w:cs="Times New Roman"/>
      <w:kern w:val="0"/>
      <w:sz w:val="18"/>
      <w:szCs w:val="18"/>
    </w:rPr>
  </w:style>
  <w:style w:type="character" w:customStyle="1" w:styleId="9">
    <w:name w:val="页脚 字符"/>
    <w:link w:val="4"/>
    <w:qFormat/>
    <w:uiPriority w:val="99"/>
    <w:rPr>
      <w:rFonts w:ascii="Times New Roman" w:hAnsi="Times New Roman" w:eastAsia="宋体" w:cs="Times New Roman"/>
      <w:kern w:val="0"/>
      <w:sz w:val="18"/>
      <w:szCs w:val="18"/>
    </w:rPr>
  </w:style>
  <w:style w:type="character" w:customStyle="1" w:styleId="10">
    <w:name w:val="页眉 字符"/>
    <w:basedOn w:val="7"/>
    <w:link w:val="5"/>
    <w:qFormat/>
    <w:uiPriority w:val="0"/>
    <w:rPr>
      <w:rFonts w:ascii="Times New Roman" w:hAnsi="Times New Roman" w:eastAsia="宋体" w:cs="Times New Roman"/>
      <w:kern w:val="0"/>
      <w:sz w:val="18"/>
      <w:szCs w:val="18"/>
      <w:lang w:val="zh-CN" w:eastAsia="zh-CN"/>
    </w:rPr>
  </w:style>
  <w:style w:type="character" w:customStyle="1" w:styleId="11">
    <w:name w:val="页眉 Char1"/>
    <w:basedOn w:val="7"/>
    <w:semiHidden/>
    <w:qFormat/>
    <w:uiPriority w:val="99"/>
    <w:rPr>
      <w:rFonts w:ascii="Times New Roman" w:hAnsi="Times New Roman" w:eastAsia="宋体" w:cs="Times New Roman"/>
      <w:kern w:val="0"/>
      <w:sz w:val="18"/>
      <w:szCs w:val="18"/>
    </w:rPr>
  </w:style>
  <w:style w:type="character" w:customStyle="1" w:styleId="12">
    <w:name w:val="正文文本 3 字符"/>
    <w:basedOn w:val="7"/>
    <w:link w:val="2"/>
    <w:qFormat/>
    <w:uiPriority w:val="99"/>
    <w:rPr>
      <w:rFonts w:ascii="Times New Roman" w:hAnsi="Times New Roman" w:eastAsia="宋体" w:cs="Times New Roman"/>
      <w:sz w:val="16"/>
      <w:szCs w:val="16"/>
      <w:lang w:val="zh-CN" w:eastAsia="zh-CN"/>
    </w:rPr>
  </w:style>
  <w:style w:type="character" w:customStyle="1" w:styleId="13">
    <w:name w:val="正文文本 3 Char1"/>
    <w:basedOn w:val="7"/>
    <w:semiHidden/>
    <w:qFormat/>
    <w:uiPriority w:val="99"/>
    <w:rPr>
      <w:rFonts w:ascii="Times New Roman" w:hAnsi="Times New Roman" w:eastAsia="宋体" w:cs="Times New Roman"/>
      <w:kern w:val="0"/>
      <w:sz w:val="16"/>
      <w:szCs w:val="16"/>
    </w:rPr>
  </w:style>
  <w:style w:type="character" w:customStyle="1" w:styleId="14">
    <w:name w:val="批注框文本 字符"/>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297</Words>
  <Characters>1698</Characters>
  <Lines>14</Lines>
  <Paragraphs>3</Paragraphs>
  <TotalTime>28</TotalTime>
  <ScaleCrop>false</ScaleCrop>
  <LinksUpToDate>false</LinksUpToDate>
  <CharactersWithSpaces>1992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2021-04-08T08:32:00Z</dcterms:created>
  <dc:creator>张桂明</dc:creator>
  <cp:lastModifiedBy>Ch</cp:lastModifiedBy>
  <cp:lastPrinted>2021-04-21T03:26:00Z</cp:lastPrinted>
  <dcterms:modified xsi:type="dcterms:W3CDTF">2021-05-29T12:44:16Z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9569CB47059F45A6BCC234F8EDFD7D3D</vt:lpwstr>
  </property>
</Properties>
</file>