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b/>
          <w:sz w:val="28"/>
        </w:rPr>
      </w:pPr>
      <w:bookmarkStart w:id="0" w:name="_GoBack"/>
      <w:bookmarkEnd w:id="0"/>
      <w:r>
        <w:rPr>
          <w:rFonts w:hint="eastAsia" w:ascii="楷体" w:hAnsi="楷体" w:eastAsia="楷体"/>
          <w:b/>
          <w:sz w:val="28"/>
        </w:rPr>
        <w:t>附件</w:t>
      </w:r>
      <w:r>
        <w:rPr>
          <w:rFonts w:ascii="楷体" w:hAnsi="楷体" w:eastAsia="楷体"/>
          <w:b/>
          <w:sz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olor w:val="000000"/>
          <w:kern w:val="2"/>
          <w:sz w:val="36"/>
          <w:szCs w:val="36"/>
        </w:rPr>
        <w:t>中国新闻奖参评作品推荐表</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844"/>
        <w:gridCol w:w="290"/>
        <w:gridCol w:w="992"/>
        <w:gridCol w:w="182"/>
        <w:gridCol w:w="811"/>
        <w:gridCol w:w="533"/>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jc w:val="center"/>
        </w:trPr>
        <w:tc>
          <w:tcPr>
            <w:tcW w:w="1586" w:type="dxa"/>
            <w:gridSpan w:val="4"/>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作品标题</w:t>
            </w:r>
          </w:p>
        </w:tc>
        <w:tc>
          <w:tcPr>
            <w:tcW w:w="4374" w:type="dxa"/>
            <w:gridSpan w:val="6"/>
            <w:vMerge w:val="restart"/>
            <w:tcBorders>
              <w:top w:val="single" w:color="auto" w:sz="4" w:space="0"/>
              <w:left w:val="single" w:color="auto" w:sz="4" w:space="0"/>
              <w:right w:val="single" w:color="auto" w:sz="4" w:space="0"/>
            </w:tcBorders>
            <w:vAlign w:val="center"/>
          </w:tcPr>
          <w:p>
            <w:pPr>
              <w:snapToGrid w:val="0"/>
              <w:spacing w:line="400" w:lineRule="exact"/>
              <w:jc w:val="both"/>
              <w:rPr>
                <w:rFonts w:ascii="宋体" w:hAnsi="宋体"/>
                <w:color w:val="000000"/>
                <w:kern w:val="2"/>
              </w:rPr>
            </w:pPr>
            <w:r>
              <w:rPr>
                <w:rFonts w:hint="eastAsia" w:ascii="仿宋" w:hAnsi="仿宋" w:eastAsia="仿宋"/>
              </w:rPr>
              <w:t>告别在长江捕鱼的日子——湖北省咸宁市落实长江流域重点水域禁捕和退捕渔民安置保障工作见闻</w:t>
            </w:r>
          </w:p>
          <w:p>
            <w:pPr>
              <w:snapToGrid w:val="0"/>
              <w:spacing w:line="400" w:lineRule="exact"/>
              <w:jc w:val="both"/>
              <w:rPr>
                <w:rFonts w:ascii="华文中宋" w:hAnsi="华文中宋" w:eastAsia="华文中宋"/>
                <w:sz w:val="28"/>
              </w:rPr>
            </w:pPr>
          </w:p>
        </w:tc>
        <w:tc>
          <w:tcPr>
            <w:tcW w:w="1344"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参评项目</w:t>
            </w:r>
          </w:p>
        </w:tc>
        <w:tc>
          <w:tcPr>
            <w:tcW w:w="2443" w:type="dxa"/>
            <w:tcBorders>
              <w:top w:val="single" w:color="auto" w:sz="4" w:space="0"/>
              <w:left w:val="single" w:color="auto" w:sz="4" w:space="0"/>
              <w:right w:val="single" w:color="auto" w:sz="4" w:space="0"/>
            </w:tcBorders>
            <w:vAlign w:val="center"/>
          </w:tcPr>
          <w:p>
            <w:pPr>
              <w:snapToGrid w:val="0"/>
              <w:spacing w:line="400" w:lineRule="exact"/>
              <w:jc w:val="center"/>
              <w:rPr>
                <w:rFonts w:ascii="仿宋_GB2312" w:eastAsia="仿宋_GB2312"/>
                <w:sz w:val="28"/>
              </w:rPr>
            </w:pPr>
            <w:r>
              <w:rPr>
                <w:rFonts w:hint="eastAsia" w:ascii="仿宋_GB2312" w:eastAsia="仿宋_GB2312"/>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374" w:type="dxa"/>
            <w:gridSpan w:val="6"/>
            <w:vMerge w:val="continue"/>
            <w:tcBorders>
              <w:top w:val="single" w:color="auto" w:sz="4" w:space="0"/>
              <w:left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1344" w:type="dxa"/>
            <w:gridSpan w:val="2"/>
            <w:tcBorders>
              <w:top w:val="single" w:color="auto" w:sz="4" w:space="0"/>
              <w:left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体裁</w:t>
            </w:r>
          </w:p>
        </w:tc>
        <w:tc>
          <w:tcPr>
            <w:tcW w:w="2443" w:type="dxa"/>
            <w:tcBorders>
              <w:top w:val="single" w:color="auto" w:sz="4" w:space="0"/>
              <w:left w:val="single" w:color="auto" w:sz="4" w:space="0"/>
              <w:right w:val="single" w:color="auto" w:sz="4" w:space="0"/>
            </w:tcBorders>
            <w:vAlign w:val="center"/>
          </w:tcPr>
          <w:p>
            <w:pPr>
              <w:widowControl w:val="0"/>
              <w:jc w:val="center"/>
              <w:rPr>
                <w:rFonts w:ascii="仿宋" w:hAnsi="仿宋" w:eastAsia="仿宋"/>
                <w:sz w:val="28"/>
              </w:rPr>
            </w:pPr>
            <w:r>
              <w:rPr>
                <w:rFonts w:hint="eastAsia" w:ascii="仿宋" w:hAnsi="仿宋" w:eastAsia="仿宋"/>
                <w:color w:val="000000" w:themeColor="text1"/>
                <w:kern w:val="2"/>
                <w14:textFill>
                  <w14:solidFill>
                    <w14:schemeClr w14:val="tx1"/>
                  </w14:solidFill>
                </w14:textFill>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jc w:val="center"/>
        </w:trPr>
        <w:tc>
          <w:tcPr>
            <w:tcW w:w="1586" w:type="dxa"/>
            <w:gridSpan w:val="4"/>
            <w:vMerge w:val="continue"/>
            <w:vAlign w:val="center"/>
          </w:tcPr>
          <w:p>
            <w:pPr>
              <w:spacing w:line="380" w:lineRule="exact"/>
              <w:jc w:val="center"/>
              <w:rPr>
                <w:rFonts w:ascii="华文中宋" w:hAnsi="华文中宋" w:eastAsia="华文中宋"/>
                <w:sz w:val="28"/>
              </w:rPr>
            </w:pPr>
          </w:p>
        </w:tc>
        <w:tc>
          <w:tcPr>
            <w:tcW w:w="4374" w:type="dxa"/>
            <w:gridSpan w:val="6"/>
            <w:vMerge w:val="continue"/>
            <w:tcBorders>
              <w:left w:val="single" w:color="auto" w:sz="4" w:space="0"/>
              <w:bottom w:val="single" w:color="auto" w:sz="4" w:space="0"/>
              <w:right w:val="single" w:color="auto" w:sz="4" w:space="0"/>
            </w:tcBorders>
            <w:vAlign w:val="center"/>
          </w:tcPr>
          <w:p>
            <w:pPr>
              <w:spacing w:line="380" w:lineRule="exact"/>
              <w:jc w:val="center"/>
              <w:rPr>
                <w:rFonts w:ascii="华文中宋" w:hAnsi="华文中宋" w:eastAsia="华文中宋"/>
                <w:sz w:val="28"/>
              </w:rPr>
            </w:pPr>
          </w:p>
        </w:tc>
        <w:tc>
          <w:tcPr>
            <w:tcW w:w="1344" w:type="dxa"/>
            <w:gridSpan w:val="2"/>
            <w:tcBorders>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color w:val="000000" w:themeColor="text1"/>
                <w:sz w:val="28"/>
                <w:szCs w:val="28"/>
                <w14:textFill>
                  <w14:solidFill>
                    <w14:schemeClr w14:val="tx1"/>
                  </w14:solidFill>
                </w14:textFill>
              </w:rPr>
            </w:pPr>
            <w:r>
              <w:rPr>
                <w:rFonts w:hint="eastAsia" w:ascii="华文中宋" w:hAnsi="华文中宋" w:eastAsia="华文中宋"/>
                <w:color w:val="000000" w:themeColor="text1"/>
                <w:sz w:val="28"/>
                <w:szCs w:val="28"/>
                <w14:textFill>
                  <w14:solidFill>
                    <w14:schemeClr w14:val="tx1"/>
                  </w14:solidFill>
                </w14:textFill>
              </w:rPr>
              <w:t>语种</w:t>
            </w:r>
          </w:p>
        </w:tc>
        <w:tc>
          <w:tcPr>
            <w:tcW w:w="2443" w:type="dxa"/>
            <w:tcBorders>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rPr>
              <w:t>（主创人员）</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ascii="华文中宋" w:hAnsi="华文中宋" w:eastAsia="华文中宋"/>
                <w:color w:val="000000" w:themeColor="text1"/>
                <w:highlight w:val="yellow"/>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卜海涛、杨柳</w:t>
            </w:r>
          </w:p>
        </w:tc>
        <w:tc>
          <w:tcPr>
            <w:tcW w:w="146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编辑</w:t>
            </w:r>
          </w:p>
        </w:tc>
        <w:tc>
          <w:tcPr>
            <w:tcW w:w="3787"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themeColor="text1"/>
                <w:w w:val="95"/>
                <w:highlight w:val="yellow"/>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张思楠、贾学颖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刊播单位</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widowControl w:val="0"/>
              <w:jc w:val="center"/>
              <w:rPr>
                <w:rFonts w:ascii="仿宋" w:hAnsi="仿宋" w:eastAsia="仿宋"/>
                <w:color w:val="000000" w:themeColor="text1"/>
                <w:kern w:val="2"/>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中国财经报社</w:t>
            </w:r>
          </w:p>
        </w:tc>
        <w:tc>
          <w:tcPr>
            <w:tcW w:w="146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刊播日期</w:t>
            </w:r>
          </w:p>
        </w:tc>
        <w:tc>
          <w:tcPr>
            <w:tcW w:w="3787"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themeColor="text1"/>
                <w:kern w:val="2"/>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2020年12月8日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刊播版</w:t>
            </w:r>
          </w:p>
          <w:p>
            <w:pPr>
              <w:spacing w:line="400" w:lineRule="exact"/>
              <w:jc w:val="center"/>
              <w:rPr>
                <w:rFonts w:ascii="华文中宋" w:hAnsi="华文中宋" w:eastAsia="华文中宋"/>
                <w:sz w:val="28"/>
                <w:szCs w:val="28"/>
              </w:rPr>
            </w:pPr>
            <w:r>
              <w:rPr>
                <w:rFonts w:hint="eastAsia" w:ascii="华文中宋" w:hAnsi="华文中宋" w:eastAsia="华文中宋"/>
              </w:rPr>
              <w:t>(名称和版次)</w:t>
            </w:r>
          </w:p>
        </w:tc>
        <w:tc>
          <w:tcPr>
            <w:tcW w:w="29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1版要闻、4版市县财经</w:t>
            </w:r>
          </w:p>
        </w:tc>
        <w:tc>
          <w:tcPr>
            <w:tcW w:w="146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rPr>
              <w:t>（时长）</w:t>
            </w:r>
          </w:p>
        </w:tc>
        <w:tc>
          <w:tcPr>
            <w:tcW w:w="3787"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 w:hAnsi="仿宋" w:eastAsia="仿宋"/>
                <w:color w:val="000000" w:themeColor="text1"/>
                <w:w w:val="95"/>
                <w14:textFill>
                  <w14:solidFill>
                    <w14:schemeClr w14:val="tx1"/>
                  </w14:solidFill>
                </w14:textFill>
              </w:rPr>
            </w:pPr>
            <w:r>
              <w:rPr>
                <w:rFonts w:hint="eastAsia" w:ascii="仿宋" w:hAnsi="仿宋" w:eastAsia="仿宋"/>
                <w:color w:val="000000" w:themeColor="text1"/>
                <w:w w:val="95"/>
                <w14:textFill>
                  <w14:solidFill>
                    <w14:schemeClr w14:val="tx1"/>
                  </w14:solidFill>
                </w14:textFill>
              </w:rPr>
              <w:t>2854字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rPr>
              <w:t xml:space="preserve">  </w:t>
            </w:r>
            <w:r>
              <w:rPr>
                <w:rFonts w:hint="eastAsia" w:ascii="华文中宋" w:hAnsi="华文中宋" w:eastAsia="华文中宋"/>
              </w:rPr>
              <w:t>︵</w:t>
            </w:r>
          </w:p>
          <w:p>
            <w:pPr>
              <w:spacing w:line="300" w:lineRule="exact"/>
              <w:jc w:val="center"/>
              <w:rPr>
                <w:rFonts w:ascii="华文中宋" w:hAnsi="华文中宋" w:eastAsia="华文中宋"/>
              </w:rPr>
            </w:pPr>
            <w:r>
              <w:rPr>
                <w:rFonts w:hint="eastAsia" w:ascii="华文中宋" w:hAnsi="华文中宋" w:eastAsia="华文中宋"/>
              </w:rPr>
              <w:t>采作</w:t>
            </w:r>
          </w:p>
          <w:p>
            <w:pPr>
              <w:spacing w:line="300" w:lineRule="exact"/>
              <w:jc w:val="center"/>
              <w:rPr>
                <w:rFonts w:ascii="华文中宋" w:hAnsi="华文中宋" w:eastAsia="华文中宋"/>
              </w:rPr>
            </w:pPr>
            <w:r>
              <w:rPr>
                <w:rFonts w:hint="eastAsia" w:ascii="华文中宋" w:hAnsi="华文中宋" w:eastAsia="华文中宋"/>
              </w:rPr>
              <w:t>编品</w:t>
            </w:r>
          </w:p>
          <w:p>
            <w:pPr>
              <w:spacing w:line="300" w:lineRule="exact"/>
              <w:jc w:val="center"/>
              <w:rPr>
                <w:rFonts w:ascii="华文中宋" w:hAnsi="华文中宋" w:eastAsia="华文中宋"/>
              </w:rPr>
            </w:pPr>
            <w:r>
              <w:rPr>
                <w:rFonts w:hint="eastAsia" w:ascii="华文中宋" w:hAnsi="华文中宋" w:eastAsia="华文中宋"/>
              </w:rPr>
              <w:t>过简</w:t>
            </w:r>
          </w:p>
          <w:p>
            <w:pPr>
              <w:spacing w:line="300" w:lineRule="exact"/>
              <w:jc w:val="center"/>
              <w:rPr>
                <w:rFonts w:ascii="华文中宋" w:hAnsi="华文中宋" w:eastAsia="华文中宋"/>
              </w:rPr>
            </w:pPr>
            <w:r>
              <w:rPr>
                <w:rFonts w:hint="eastAsia" w:ascii="华文中宋" w:hAnsi="华文中宋" w:eastAsia="华文中宋"/>
              </w:rPr>
              <w:t>程介</w:t>
            </w:r>
          </w:p>
          <w:p>
            <w:pPr>
              <w:spacing w:line="300" w:lineRule="exact"/>
              <w:jc w:val="center"/>
              <w:rPr>
                <w:rFonts w:ascii="华文中宋" w:hAnsi="华文中宋" w:eastAsia="华文中宋"/>
                <w:sz w:val="28"/>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w:t>
            </w:r>
          </w:p>
        </w:tc>
        <w:tc>
          <w:tcPr>
            <w:tcW w:w="8788" w:type="dxa"/>
            <w:gridSpan w:val="11"/>
            <w:tcBorders>
              <w:top w:val="single" w:color="auto" w:sz="4" w:space="0"/>
              <w:left w:val="single" w:color="auto" w:sz="4" w:space="0"/>
              <w:bottom w:val="single" w:color="auto" w:sz="4" w:space="0"/>
              <w:right w:val="single" w:color="auto" w:sz="4" w:space="0"/>
            </w:tcBorders>
          </w:tcPr>
          <w:p>
            <w:pPr>
              <w:ind w:firstLine="480" w:firstLineChars="200"/>
              <w:rPr>
                <w:rFonts w:ascii="仿宋_GB2312" w:eastAsia="仿宋_GB2312"/>
              </w:rPr>
            </w:pPr>
            <w:r>
              <w:rPr>
                <w:rFonts w:hint="eastAsia" w:ascii="仿宋" w:hAnsi="仿宋" w:eastAsia="仿宋"/>
              </w:rPr>
              <w:t>报社针对生态与民生领域热点提前将其确定为年度重点选题，组建特别报道组，经多次与地方衔接采访时机和背景情况，记者深入赤壁市现场走访，由赤壁镇上举办的一场退捕渔民专场招聘会，引出几名典型长江渔民家庭禁捕退捕前后的生计变迁，逐项了解地方财政等部门各项保障举措与具体数据,将财政部门坚决贯彻和切实保障国家重大战略部署的积极作为予以鲜活呈现。稿件修改十余次，经多轮调整充实打磨，反复核实推敲，社领导和编委亲自把关，最终成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rPr>
              <w:t>体实</w:t>
            </w:r>
          </w:p>
          <w:p>
            <w:pPr>
              <w:spacing w:line="300" w:lineRule="exact"/>
              <w:jc w:val="center"/>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 xml:space="preserve"> </w:t>
            </w:r>
            <w:r>
              <w:rPr>
                <w:rFonts w:hint="eastAsia" w:ascii="华文中宋" w:hAnsi="华文中宋" w:eastAsia="华文中宋"/>
              </w:rPr>
              <w:t>效</w:t>
            </w:r>
          </w:p>
        </w:tc>
        <w:tc>
          <w:tcPr>
            <w:tcW w:w="8788" w:type="dxa"/>
            <w:gridSpan w:val="11"/>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000000" w:themeColor="text1"/>
                <w:kern w:val="2"/>
                <w14:textFill>
                  <w14:solidFill>
                    <w14:schemeClr w14:val="tx1"/>
                  </w14:solidFill>
                </w14:textFill>
              </w:rPr>
            </w:pPr>
            <w:r>
              <w:rPr>
                <w:rFonts w:hint="eastAsia" w:ascii="仿宋" w:hAnsi="仿宋" w:eastAsia="仿宋"/>
                <w:color w:val="000000" w:themeColor="text1"/>
                <w14:textFill>
                  <w14:solidFill>
                    <w14:schemeClr w14:val="tx1"/>
                  </w14:solidFill>
                </w14:textFill>
              </w:rPr>
              <w:t>该稿件作为本报年度重点选题和重点报道稿件，中国财经报展开了全媒体传播呈现，在报纸头版头条刊发的同时，通过中国财经报网、中国财经报新闻客户端、中国财经报微信公众号同步传播，并在首屏首页推荐。稿件刊发后，被新浪网财经头条、搜狐网等转载。中国财经报新闻客户端点击量1477次，微信3314次，新浪网阅读量1224次，搜狐网阅读量5933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社</w:t>
            </w:r>
          </w:p>
          <w:p>
            <w:pPr>
              <w:spacing w:line="300" w:lineRule="exact"/>
              <w:jc w:val="center"/>
              <w:rPr>
                <w:rFonts w:ascii="华文中宋" w:hAnsi="华文中宋" w:eastAsia="华文中宋"/>
              </w:rPr>
            </w:pPr>
            <w:r>
              <w:rPr>
                <w:rFonts w:hint="eastAsia" w:ascii="华文中宋" w:hAnsi="华文中宋" w:eastAsia="华文中宋"/>
              </w:rPr>
              <w:t>会</w:t>
            </w:r>
          </w:p>
          <w:p>
            <w:pPr>
              <w:spacing w:line="300" w:lineRule="exact"/>
              <w:jc w:val="center"/>
              <w:rPr>
                <w:rFonts w:ascii="华文中宋" w:hAnsi="华文中宋" w:eastAsia="华文中宋"/>
              </w:rPr>
            </w:pPr>
            <w:r>
              <w:rPr>
                <w:rFonts w:hint="eastAsia" w:ascii="华文中宋" w:hAnsi="华文中宋" w:eastAsia="华文中宋"/>
              </w:rPr>
              <w:t>效</w:t>
            </w:r>
          </w:p>
          <w:p>
            <w:pPr>
              <w:spacing w:line="300" w:lineRule="exact"/>
              <w:jc w:val="center"/>
              <w:rPr>
                <w:rFonts w:ascii="华文中宋" w:hAnsi="华文中宋" w:eastAsia="华文中宋"/>
              </w:rPr>
            </w:pPr>
            <w:r>
              <w:rPr>
                <w:rFonts w:hint="eastAsia" w:ascii="华文中宋" w:hAnsi="华文中宋" w:eastAsia="华文中宋"/>
              </w:rPr>
              <w:t>果</w:t>
            </w:r>
          </w:p>
        </w:tc>
        <w:tc>
          <w:tcPr>
            <w:tcW w:w="8788" w:type="dxa"/>
            <w:gridSpan w:val="11"/>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000000" w:themeColor="text1"/>
                <w:kern w:val="2"/>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长江保护法》出台和长江十年禁渔重大战略部署全面启动前夕，中国财经报派出报道组，走访了解长江退捕禁捕渔民生产生活一手真实情况，稿件生动呈现了长江退捕禁捕渔民的喜与盼，客观展现了基层一线贯彻落实中央要求的具体举措和落地进展，取得了良好的社会宣传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8"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rPr>
              <w:t>推</w:t>
            </w:r>
          </w:p>
          <w:p>
            <w:pPr>
              <w:spacing w:line="300" w:lineRule="exact"/>
              <w:jc w:val="center"/>
              <w:rPr>
                <w:rFonts w:ascii="华文中宋" w:hAnsi="华文中宋" w:eastAsia="华文中宋"/>
              </w:rPr>
            </w:pPr>
            <w:r>
              <w:rPr>
                <w:rFonts w:hint="eastAsia" w:ascii="华文中宋" w:hAnsi="华文中宋" w:eastAsia="华文中宋"/>
              </w:rPr>
              <w:t>荐</w:t>
            </w:r>
          </w:p>
          <w:p>
            <w:pPr>
              <w:spacing w:line="300" w:lineRule="exact"/>
              <w:jc w:val="center"/>
              <w:rPr>
                <w:rFonts w:ascii="华文中宋" w:hAnsi="华文中宋" w:eastAsia="华文中宋"/>
              </w:rPr>
            </w:pPr>
            <w:r>
              <w:rPr>
                <w:rFonts w:hint="eastAsia" w:ascii="华文中宋" w:hAnsi="华文中宋" w:eastAsia="华文中宋"/>
              </w:rPr>
              <w:t>理</w:t>
            </w:r>
          </w:p>
          <w:p>
            <w:pPr>
              <w:spacing w:line="300" w:lineRule="exact"/>
              <w:jc w:val="center"/>
              <w:rPr>
                <w:rFonts w:ascii="华文中宋" w:hAnsi="华文中宋" w:eastAsia="华文中宋"/>
              </w:rPr>
            </w:pPr>
            <w:r>
              <w:rPr>
                <w:rFonts w:hint="eastAsia" w:ascii="华文中宋" w:hAnsi="华文中宋" w:eastAsia="华文中宋"/>
              </w:rPr>
              <w:t>由</w:t>
            </w:r>
          </w:p>
        </w:tc>
        <w:tc>
          <w:tcPr>
            <w:tcW w:w="8788" w:type="dxa"/>
            <w:gridSpan w:val="11"/>
            <w:tcBorders>
              <w:top w:val="single" w:color="auto" w:sz="4" w:space="0"/>
              <w:left w:val="single" w:color="auto" w:sz="4" w:space="0"/>
              <w:bottom w:val="single" w:color="auto" w:sz="4" w:space="0"/>
              <w:right w:val="single" w:color="auto" w:sz="4" w:space="0"/>
            </w:tcBorders>
          </w:tcPr>
          <w:p>
            <w:pPr>
              <w:widowControl w:val="0"/>
              <w:ind w:firstLine="480" w:firstLineChars="200"/>
              <w:rPr>
                <w:rFonts w:ascii="仿宋" w:hAnsi="仿宋" w:eastAsia="仿宋"/>
                <w:color w:val="000000" w:themeColor="text1"/>
                <w:kern w:val="2"/>
                <w14:textFill>
                  <w14:solidFill>
                    <w14:schemeClr w14:val="tx1"/>
                  </w14:solidFill>
                </w14:textFill>
              </w:rPr>
            </w:pPr>
            <w:r>
              <w:rPr>
                <w:rFonts w:hint="eastAsia" w:ascii="仿宋" w:hAnsi="仿宋" w:eastAsia="仿宋"/>
                <w:color w:val="000000" w:themeColor="text1"/>
                <w:kern w:val="2"/>
                <w14:textFill>
                  <w14:solidFill>
                    <w14:schemeClr w14:val="tx1"/>
                  </w14:solidFill>
                </w14:textFill>
              </w:rPr>
              <w:t>本篇稿件是报社编委会确定的年度重点选题，为深入践行习近平生态文明思想，守护好长江母亲河，报道组在精心准备和扎实采访的基础上，掌握了大量一手素材，稿件由现场的“点”引出渔民的“线”和政策的“面”、财政的“根”，以渔民的际遇与心声，生动展现了各级财政部门坚决</w:t>
            </w:r>
            <w:r>
              <w:rPr>
                <w:rFonts w:hint="eastAsia" w:ascii="仿宋" w:hAnsi="仿宋" w:eastAsia="仿宋"/>
              </w:rPr>
              <w:t>贯彻和切实保障国家重大战略部署的积极作为，且留有余味。</w:t>
            </w:r>
            <w:r>
              <w:rPr>
                <w:rFonts w:hint="eastAsia" w:ascii="仿宋" w:hAnsi="仿宋" w:eastAsia="仿宋"/>
                <w:color w:val="000000" w:themeColor="text1"/>
                <w:kern w:val="2"/>
                <w14:textFill>
                  <w14:solidFill>
                    <w14:schemeClr w14:val="tx1"/>
                  </w14:solidFill>
                </w14:textFill>
              </w:rPr>
              <w:t>春节前夕，报社全体采编人员和编委会全体编委对全年17篇月度好稿再次进行优中选优，展开无记名投票，本篇稿件被评为2020中国财经报年度好稿。</w:t>
            </w:r>
          </w:p>
          <w:p>
            <w:pPr>
              <w:spacing w:line="360" w:lineRule="exact"/>
              <w:ind w:firstLine="3864" w:firstLineChars="1400"/>
              <w:rPr>
                <w:rFonts w:ascii="华文中宋" w:hAnsi="华文中宋" w:eastAsia="华文中宋"/>
                <w:spacing w:val="-2"/>
                <w:sz w:val="28"/>
              </w:rPr>
            </w:pPr>
            <w:r>
              <w:rPr>
                <w:rFonts w:hint="eastAsia" w:ascii="华文中宋" w:hAnsi="华文中宋" w:eastAsia="华文中宋"/>
                <w:spacing w:val="-2"/>
                <w:sz w:val="28"/>
              </w:rPr>
              <w:t>签名：</w:t>
            </w:r>
          </w:p>
          <w:p>
            <w:pPr>
              <w:spacing w:line="360" w:lineRule="exact"/>
              <w:ind w:firstLine="5460" w:firstLineChars="1950"/>
              <w:rPr>
                <w:rFonts w:ascii="华文中宋" w:hAnsi="华文中宋" w:eastAsia="华文中宋"/>
                <w:sz w:val="28"/>
              </w:rPr>
            </w:pPr>
            <w:r>
              <w:rPr>
                <w:rFonts w:hint="eastAsia" w:ascii="华文中宋" w:hAnsi="华文中宋" w:eastAsia="华文中宋"/>
                <w:sz w:val="28"/>
              </w:rPr>
              <w:t>（盖单位公章）</w:t>
            </w:r>
          </w:p>
          <w:p>
            <w:pPr>
              <w:spacing w:line="360" w:lineRule="exact"/>
              <w:rPr>
                <w:rFonts w:ascii="仿宋" w:hAnsi="仿宋" w:eastAsia="仿宋"/>
                <w:color w:val="808080"/>
                <w:kern w:val="2"/>
                <w:sz w:val="21"/>
                <w:szCs w:val="21"/>
              </w:rPr>
            </w:pPr>
            <w:r>
              <w:rPr>
                <w:rFonts w:hint="eastAsia" w:ascii="仿宋_GB2312" w:eastAsia="仿宋_GB2312"/>
                <w:sz w:val="28"/>
              </w:rPr>
              <w:t xml:space="preserve">                                      </w:t>
            </w:r>
            <w:r>
              <w:rPr>
                <w:rFonts w:ascii="华文中宋" w:hAnsi="华文中宋" w:eastAsia="华文中宋"/>
                <w:sz w:val="28"/>
              </w:rPr>
              <w:t>20</w:t>
            </w:r>
            <w:r>
              <w:rPr>
                <w:rFonts w:hint="eastAsia" w:ascii="华文中宋" w:hAnsi="华文中宋" w:eastAsia="华文中宋"/>
                <w:sz w:val="28"/>
              </w:rPr>
              <w:t>2</w:t>
            </w:r>
            <w:r>
              <w:rPr>
                <w:rFonts w:ascii="华文中宋" w:hAnsi="华文中宋" w:eastAsia="华文中宋"/>
                <w:sz w:val="28"/>
              </w:rPr>
              <w:t xml:space="preserve">1年  </w:t>
            </w:r>
            <w:r>
              <w:rPr>
                <w:rFonts w:hint="eastAsia" w:ascii="华文中宋" w:hAnsi="华文中宋" w:eastAsia="华文中宋"/>
                <w:sz w:val="28"/>
              </w:rPr>
              <w:t>月</w:t>
            </w:r>
            <w:r>
              <w:rPr>
                <w:rFonts w:ascii="华文中宋" w:hAnsi="华文中宋" w:eastAsia="华文中宋"/>
                <w:sz w:val="28"/>
              </w:rPr>
              <w:t xml:space="preserve">  </w:t>
            </w:r>
            <w:r>
              <w:rPr>
                <w:rFonts w:hint="eastAsia" w:ascii="华文中宋" w:hAnsi="华文中宋" w:eastAsia="华文中宋"/>
                <w:sz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联系人(作者)</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卜海涛</w:t>
            </w:r>
          </w:p>
        </w:tc>
        <w:tc>
          <w:tcPr>
            <w:tcW w:w="99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手机</w:t>
            </w:r>
          </w:p>
        </w:tc>
        <w:tc>
          <w:tcPr>
            <w:tcW w:w="3969"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13801159916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63803195</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E-mail</w:t>
            </w:r>
          </w:p>
        </w:tc>
        <w:tc>
          <w:tcPr>
            <w:tcW w:w="4961" w:type="dxa"/>
            <w:gridSpan w:val="5"/>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cjbbht@163.com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地址</w:t>
            </w:r>
          </w:p>
        </w:tc>
        <w:tc>
          <w:tcPr>
            <w:tcW w:w="4734" w:type="dxa"/>
            <w:gridSpan w:val="6"/>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华文中宋" w:hAnsi="华文中宋" w:eastAsia="华文中宋"/>
              </w:rPr>
              <w:t>北京市丰台区广安路甲54号中国财经报社</w:t>
            </w:r>
          </w:p>
        </w:tc>
        <w:tc>
          <w:tcPr>
            <w:tcW w:w="993"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rPr>
              <w:t>邮编</w:t>
            </w:r>
          </w:p>
        </w:tc>
        <w:tc>
          <w:tcPr>
            <w:tcW w:w="2976" w:type="dxa"/>
            <w:gridSpan w:val="2"/>
            <w:tcBorders>
              <w:left w:val="single" w:color="auto" w:sz="4" w:space="0"/>
              <w:bottom w:val="single" w:color="auto" w:sz="4" w:space="0"/>
              <w:right w:val="single" w:color="auto" w:sz="4" w:space="0"/>
            </w:tcBorders>
          </w:tcPr>
          <w:p>
            <w:pPr>
              <w:snapToGrid w:val="0"/>
              <w:spacing w:line="240" w:lineRule="exact"/>
              <w:jc w:val="both"/>
              <w:rPr>
                <w:rFonts w:ascii="华文中宋" w:hAnsi="华文中宋" w:eastAsia="华文中宋"/>
              </w:rPr>
            </w:pPr>
            <w:r>
              <w:rPr>
                <w:rFonts w:hint="eastAsia" w:ascii="华文中宋" w:hAnsi="华文中宋" w:eastAsia="华文中宋"/>
              </w:rPr>
              <w:t>100161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2"/>
            <w:tcBorders>
              <w:left w:val="nil"/>
              <w:bottom w:val="nil"/>
              <w:right w:val="nil"/>
            </w:tcBorders>
          </w:tcPr>
          <w:p>
            <w:pPr>
              <w:spacing w:line="400" w:lineRule="exact"/>
              <w:rPr>
                <w:rFonts w:ascii="楷体" w:hAnsi="楷体" w:eastAsia="楷体"/>
                <w:sz w:val="28"/>
              </w:rPr>
            </w:pPr>
            <w:r>
              <w:rPr>
                <w:rFonts w:hint="eastAsia" w:ascii="楷体" w:hAnsi="楷体" w:eastAsia="楷体"/>
                <w:sz w:val="28"/>
              </w:rPr>
              <w:t>此表可从中国记协网www.zgjx.cn和中国青年网www.youth.cn网站下载。</w:t>
            </w:r>
          </w:p>
        </w:tc>
      </w:tr>
    </w:tbl>
    <w:p/>
    <w:sectPr>
      <w:footerReference r:id="rId4"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jc w:val="left"/>
      <w:rPr>
        <w:rFonts w:ascii="楷体" w:hAnsi="楷体" w:eastAsia="楷体"/>
        <w:b/>
        <w:sz w:val="30"/>
        <w:szCs w:val="30"/>
      </w:rPr>
    </w:pPr>
    <w:r>
      <w:rPr>
        <w:rFonts w:hint="eastAsia" w:ascii="楷体" w:hAnsi="楷体" w:eastAsia="楷体"/>
        <w:b/>
        <w:sz w:val="30"/>
        <w:szCs w:val="30"/>
      </w:rPr>
      <w:t>附件8</w:t>
    </w:r>
  </w:p>
  <w:p>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8C5"/>
    <w:rsid w:val="002A1A1E"/>
    <w:rsid w:val="009327FA"/>
    <w:rsid w:val="00CA06AC"/>
    <w:rsid w:val="00CB68C5"/>
    <w:rsid w:val="00D95AEB"/>
    <w:rsid w:val="01E73FE6"/>
    <w:rsid w:val="02B76285"/>
    <w:rsid w:val="039879BB"/>
    <w:rsid w:val="03E1172E"/>
    <w:rsid w:val="04850A92"/>
    <w:rsid w:val="06206D0E"/>
    <w:rsid w:val="0AC45E28"/>
    <w:rsid w:val="0E1B7DB5"/>
    <w:rsid w:val="0F104320"/>
    <w:rsid w:val="11675FB0"/>
    <w:rsid w:val="1254336C"/>
    <w:rsid w:val="144F02AF"/>
    <w:rsid w:val="16352783"/>
    <w:rsid w:val="179551B8"/>
    <w:rsid w:val="1C0B06CA"/>
    <w:rsid w:val="1C925F4C"/>
    <w:rsid w:val="20193B41"/>
    <w:rsid w:val="20B73BD0"/>
    <w:rsid w:val="235268EE"/>
    <w:rsid w:val="24AD029B"/>
    <w:rsid w:val="25EE2E6B"/>
    <w:rsid w:val="27AA2DAA"/>
    <w:rsid w:val="27F60E55"/>
    <w:rsid w:val="2EE71E5E"/>
    <w:rsid w:val="34B56C79"/>
    <w:rsid w:val="38552843"/>
    <w:rsid w:val="42DD2D12"/>
    <w:rsid w:val="441D1BF5"/>
    <w:rsid w:val="44211297"/>
    <w:rsid w:val="4BB32123"/>
    <w:rsid w:val="4D285993"/>
    <w:rsid w:val="4ECA6F7B"/>
    <w:rsid w:val="502E11EF"/>
    <w:rsid w:val="51EE4717"/>
    <w:rsid w:val="53FC5636"/>
    <w:rsid w:val="5523396E"/>
    <w:rsid w:val="595B2B87"/>
    <w:rsid w:val="59710EFC"/>
    <w:rsid w:val="64DD2A06"/>
    <w:rsid w:val="761F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link w:val="12"/>
    <w:unhideWhenUsed/>
    <w:qFormat/>
    <w:uiPriority w:val="99"/>
    <w:pPr>
      <w:widowControl w:val="0"/>
      <w:spacing w:after="120"/>
      <w:jc w:val="both"/>
    </w:pPr>
    <w:rPr>
      <w:kern w:val="2"/>
      <w:sz w:val="16"/>
      <w:szCs w:val="16"/>
      <w:lang w:val="zh-CN"/>
    </w:rPr>
  </w:style>
  <w:style w:type="paragraph" w:styleId="3">
    <w:name w:val="footer"/>
    <w:basedOn w:val="1"/>
    <w:link w:val="9"/>
    <w:qFormat/>
    <w:uiPriority w:val="99"/>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lang w:val="zh-CN"/>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semiHidden/>
    <w:qFormat/>
    <w:uiPriority w:val="99"/>
    <w:rPr>
      <w:rFonts w:ascii="Times New Roman" w:hAnsi="Times New Roman" w:eastAsia="宋体" w:cs="Times New Roman"/>
      <w:kern w:val="0"/>
      <w:sz w:val="18"/>
      <w:szCs w:val="18"/>
    </w:rPr>
  </w:style>
  <w:style w:type="character" w:customStyle="1" w:styleId="9">
    <w:name w:val="页脚 Char1"/>
    <w:link w:val="3"/>
    <w:qFormat/>
    <w:uiPriority w:val="99"/>
    <w:rPr>
      <w:rFonts w:ascii="Times New Roman" w:hAnsi="Times New Roman" w:eastAsia="宋体" w:cs="Times New Roman"/>
      <w:kern w:val="0"/>
      <w:sz w:val="18"/>
      <w:szCs w:val="18"/>
    </w:rPr>
  </w:style>
  <w:style w:type="character" w:customStyle="1" w:styleId="10">
    <w:name w:val="页眉 Char"/>
    <w:basedOn w:val="7"/>
    <w:link w:val="4"/>
    <w:qFormat/>
    <w:uiPriority w:val="0"/>
    <w:rPr>
      <w:rFonts w:ascii="Times New Roman" w:hAnsi="Times New Roman" w:eastAsia="宋体" w:cs="Times New Roman"/>
      <w:kern w:val="0"/>
      <w:sz w:val="18"/>
      <w:szCs w:val="18"/>
      <w:lang w:val="zh-CN" w:eastAsia="zh-CN"/>
    </w:rPr>
  </w:style>
  <w:style w:type="character" w:customStyle="1" w:styleId="11">
    <w:name w:val="页眉 Char1"/>
    <w:basedOn w:val="7"/>
    <w:semiHidden/>
    <w:qFormat/>
    <w:uiPriority w:val="99"/>
    <w:rPr>
      <w:rFonts w:ascii="Times New Roman" w:hAnsi="Times New Roman" w:eastAsia="宋体" w:cs="Times New Roman"/>
      <w:kern w:val="0"/>
      <w:sz w:val="18"/>
      <w:szCs w:val="18"/>
    </w:rPr>
  </w:style>
  <w:style w:type="character" w:customStyle="1" w:styleId="12">
    <w:name w:val="正文文本 3 Char"/>
    <w:basedOn w:val="7"/>
    <w:link w:val="2"/>
    <w:qFormat/>
    <w:uiPriority w:val="99"/>
    <w:rPr>
      <w:rFonts w:ascii="Times New Roman" w:hAnsi="Times New Roman" w:eastAsia="宋体" w:cs="Times New Roman"/>
      <w:sz w:val="16"/>
      <w:szCs w:val="16"/>
      <w:lang w:val="zh-CN" w:eastAsia="zh-CN"/>
    </w:rPr>
  </w:style>
  <w:style w:type="character" w:customStyle="1" w:styleId="13">
    <w:name w:val="正文文本 3 Char1"/>
    <w:basedOn w:val="7"/>
    <w:semiHidden/>
    <w:qFormat/>
    <w:uiPriority w:val="99"/>
    <w:rPr>
      <w:rFonts w:ascii="Times New Roman" w:hAnsi="Times New Roman" w:eastAsia="宋体" w:cs="Times New Roman"/>
      <w:kern w:val="0"/>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176</Words>
  <Characters>1005</Characters>
  <Lines>8</Lines>
  <Paragraphs>2</Paragraphs>
  <TotalTime>8</TotalTime>
  <ScaleCrop>false</ScaleCrop>
  <LinksUpToDate>false</LinksUpToDate>
  <CharactersWithSpaces>1179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2021-04-08T08:32:00Z</dcterms:created>
  <dc:creator>张桂明</dc:creator>
  <cp:lastModifiedBy>Ch</cp:lastModifiedBy>
  <dcterms:modified xsi:type="dcterms:W3CDTF">2021-05-29T11:37:28Z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4581F33A2F48444B8B1760F00A3AA371</vt:lpwstr>
  </property>
</Properties>
</file>