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hint="eastAsia" w:ascii="华文中宋" w:hAnsi="华文中宋" w:eastAsia="华文中宋" w:cs="华文中宋"/>
          <w:b/>
          <w:bCs/>
          <w:sz w:val="28"/>
          <w:szCs w:val="28"/>
        </w:rPr>
      </w:pPr>
      <w:bookmarkStart w:id="0" w:name="_GoBack"/>
      <w:bookmarkEnd w:id="0"/>
      <w:r>
        <w:rPr>
          <w:rFonts w:hint="eastAsia" w:ascii="华文中宋" w:hAnsi="华文中宋" w:eastAsia="华文中宋" w:cs="华文中宋"/>
          <w:b/>
          <w:bCs/>
          <w:sz w:val="28"/>
          <w:szCs w:val="28"/>
        </w:rPr>
        <w:t>附件4</w:t>
      </w:r>
    </w:p>
    <w:p>
      <w:pPr>
        <w:spacing w:line="380" w:lineRule="exact"/>
        <w:ind w:firstLine="720" w:firstLineChars="200"/>
        <w:jc w:val="center"/>
        <w:rPr>
          <w:rFonts w:hint="eastAsia" w:ascii="华文中宋" w:hAnsi="华文中宋" w:eastAsia="华文中宋" w:cs="华文中宋"/>
          <w:color w:val="000000"/>
          <w:kern w:val="2"/>
          <w:sz w:val="36"/>
          <w:szCs w:val="36"/>
        </w:rPr>
      </w:pPr>
      <w:r>
        <w:rPr>
          <w:rFonts w:hint="eastAsia" w:ascii="华文中宋" w:hAnsi="华文中宋" w:eastAsia="华文中宋" w:cs="华文中宋"/>
          <w:color w:val="000000"/>
          <w:kern w:val="2"/>
          <w:sz w:val="36"/>
          <w:szCs w:val="36"/>
        </w:rPr>
        <w:t>中国新闻奖参评作品推荐表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4"/>
            <w:vMerge w:val="restart"/>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4150" w:type="dxa"/>
            <w:gridSpan w:val="5"/>
            <w:vMerge w:val="restart"/>
            <w:vAlign w:val="center"/>
          </w:tcPr>
          <w:p>
            <w:pPr>
              <w:snapToGrid w:val="0"/>
              <w:spacing w:line="400" w:lineRule="exact"/>
              <w:jc w:val="both"/>
              <w:rPr>
                <w:rFonts w:hint="eastAsia" w:ascii="华文中宋" w:hAnsi="华文中宋" w:eastAsia="华文中宋" w:cs="华文中宋"/>
                <w:color w:val="000000"/>
                <w:kern w:val="2"/>
                <w:sz w:val="28"/>
                <w:szCs w:val="28"/>
              </w:rPr>
            </w:pPr>
            <w:r>
              <w:rPr>
                <w:rFonts w:hint="eastAsia" w:ascii="华文中宋" w:hAnsi="华文中宋" w:eastAsia="华文中宋" w:cs="华文中宋"/>
                <w:color w:val="000000"/>
                <w:kern w:val="2"/>
                <w:sz w:val="28"/>
                <w:szCs w:val="28"/>
              </w:rPr>
              <w:t>推迟召开全国人大会议不会影响国家机关运转</w:t>
            </w:r>
          </w:p>
          <w:p>
            <w:pPr>
              <w:snapToGrid w:val="0"/>
              <w:spacing w:line="400" w:lineRule="exact"/>
              <w:jc w:val="both"/>
              <w:rPr>
                <w:rFonts w:hint="eastAsia" w:ascii="华文中宋" w:hAnsi="华文中宋" w:eastAsia="华文中宋" w:cs="华文中宋"/>
                <w:sz w:val="28"/>
                <w:szCs w:val="28"/>
              </w:rPr>
            </w:pPr>
          </w:p>
        </w:tc>
        <w:tc>
          <w:tcPr>
            <w:tcW w:w="1460" w:type="dxa"/>
            <w:gridSpan w:val="4"/>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参评项目</w:t>
            </w:r>
          </w:p>
        </w:tc>
        <w:tc>
          <w:tcPr>
            <w:tcW w:w="2551" w:type="dxa"/>
            <w:vAlign w:val="center"/>
          </w:tcPr>
          <w:p>
            <w:pPr>
              <w:snapToGrid w:val="0"/>
              <w:spacing w:line="400" w:lineRule="exact"/>
              <w:jc w:val="both"/>
              <w:rPr>
                <w:rFonts w:hint="eastAsia" w:ascii="华文中宋" w:hAnsi="华文中宋" w:eastAsia="华文中宋" w:cs="华文中宋"/>
              </w:rPr>
            </w:pPr>
            <w:r>
              <w:rPr>
                <w:rFonts w:hint="eastAsia" w:ascii="华文中宋" w:hAnsi="华文中宋" w:eastAsia="华文中宋" w:cs="华文中宋"/>
                <w:kern w:val="2"/>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1586" w:type="dxa"/>
            <w:gridSpan w:val="4"/>
            <w:vMerge w:val="continue"/>
            <w:vAlign w:val="center"/>
          </w:tcPr>
          <w:p>
            <w:pPr>
              <w:spacing w:line="380" w:lineRule="exact"/>
              <w:jc w:val="center"/>
              <w:rPr>
                <w:rFonts w:hint="eastAsia" w:ascii="华文中宋" w:hAnsi="华文中宋" w:eastAsia="华文中宋" w:cs="华文中宋"/>
                <w:sz w:val="28"/>
                <w:szCs w:val="28"/>
              </w:rPr>
            </w:pPr>
          </w:p>
        </w:tc>
        <w:tc>
          <w:tcPr>
            <w:tcW w:w="4150" w:type="dxa"/>
            <w:gridSpan w:val="5"/>
            <w:vMerge w:val="continue"/>
            <w:vAlign w:val="center"/>
          </w:tcPr>
          <w:p>
            <w:pPr>
              <w:spacing w:line="380" w:lineRule="exact"/>
              <w:jc w:val="center"/>
              <w:rPr>
                <w:rFonts w:hint="eastAsia" w:ascii="华文中宋" w:hAnsi="华文中宋" w:eastAsia="华文中宋" w:cs="华文中宋"/>
                <w:sz w:val="28"/>
                <w:szCs w:val="28"/>
              </w:rPr>
            </w:pPr>
          </w:p>
        </w:tc>
        <w:tc>
          <w:tcPr>
            <w:tcW w:w="893" w:type="dxa"/>
            <w:gridSpan w:val="2"/>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体裁</w:t>
            </w:r>
          </w:p>
        </w:tc>
        <w:tc>
          <w:tcPr>
            <w:tcW w:w="3118" w:type="dxa"/>
            <w:gridSpan w:val="3"/>
            <w:vAlign w:val="center"/>
          </w:tcPr>
          <w:p>
            <w:pPr>
              <w:widowControl w:val="0"/>
              <w:rPr>
                <w:rFonts w:hint="eastAsia" w:ascii="华文中宋" w:hAnsi="华文中宋" w:eastAsia="华文中宋" w:cs="华文中宋"/>
                <w:sz w:val="28"/>
                <w:szCs w:val="28"/>
              </w:rPr>
            </w:pPr>
            <w:r>
              <w:rPr>
                <w:rFonts w:hint="eastAsia" w:ascii="华文中宋" w:hAnsi="华文中宋" w:eastAsia="华文中宋" w:cs="华文中宋"/>
                <w:kern w:val="2"/>
                <w:sz w:val="28"/>
                <w:szCs w:val="28"/>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4"/>
            <w:vMerge w:val="continue"/>
            <w:vAlign w:val="center"/>
          </w:tcPr>
          <w:p>
            <w:pPr>
              <w:spacing w:line="380" w:lineRule="exact"/>
              <w:jc w:val="center"/>
              <w:rPr>
                <w:rFonts w:hint="eastAsia" w:ascii="华文中宋" w:hAnsi="华文中宋" w:eastAsia="华文中宋" w:cs="华文中宋"/>
                <w:sz w:val="28"/>
                <w:szCs w:val="28"/>
              </w:rPr>
            </w:pPr>
          </w:p>
        </w:tc>
        <w:tc>
          <w:tcPr>
            <w:tcW w:w="4150" w:type="dxa"/>
            <w:gridSpan w:val="5"/>
            <w:vMerge w:val="continue"/>
            <w:vAlign w:val="center"/>
          </w:tcPr>
          <w:p>
            <w:pPr>
              <w:spacing w:line="380" w:lineRule="exact"/>
              <w:jc w:val="center"/>
              <w:rPr>
                <w:rFonts w:hint="eastAsia" w:ascii="华文中宋" w:hAnsi="华文中宋" w:eastAsia="华文中宋" w:cs="华文中宋"/>
                <w:sz w:val="28"/>
                <w:szCs w:val="28"/>
              </w:rPr>
            </w:pPr>
          </w:p>
        </w:tc>
        <w:tc>
          <w:tcPr>
            <w:tcW w:w="893" w:type="dxa"/>
            <w:gridSpan w:val="2"/>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语种</w:t>
            </w:r>
          </w:p>
        </w:tc>
        <w:tc>
          <w:tcPr>
            <w:tcW w:w="3118" w:type="dxa"/>
            <w:gridSpan w:val="3"/>
            <w:vAlign w:val="center"/>
          </w:tcPr>
          <w:p>
            <w:pPr>
              <w:snapToGrid w:val="0"/>
              <w:spacing w:line="400" w:lineRule="exact"/>
              <w:jc w:val="both"/>
              <w:rPr>
                <w:rFonts w:hint="eastAsia" w:ascii="华文中宋" w:hAnsi="华文中宋" w:eastAsia="华文中宋" w:cs="华文中宋"/>
                <w:color w:val="000000"/>
                <w:kern w:val="2"/>
                <w:sz w:val="28"/>
                <w:szCs w:val="28"/>
              </w:rPr>
            </w:pPr>
            <w:r>
              <w:rPr>
                <w:rFonts w:hint="eastAsia" w:ascii="华文中宋" w:hAnsi="华文中宋" w:eastAsia="华文中宋" w:cs="华文中宋"/>
                <w:color w:val="000000"/>
                <w:kern w:val="2"/>
                <w:sz w:val="28"/>
                <w:szCs w:val="2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4"/>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作者</w:t>
            </w:r>
          </w:p>
          <w:p>
            <w:pPr>
              <w:spacing w:line="400" w:lineRule="exact"/>
              <w:jc w:val="center"/>
              <w:rPr>
                <w:rFonts w:hint="eastAsia" w:ascii="华文中宋" w:hAnsi="华文中宋" w:eastAsia="华文中宋" w:cs="华文中宋"/>
                <w:spacing w:val="-12"/>
              </w:rPr>
            </w:pPr>
            <w:r>
              <w:rPr>
                <w:rFonts w:hint="eastAsia" w:ascii="华文中宋" w:hAnsi="华文中宋" w:eastAsia="华文中宋" w:cs="华文中宋"/>
              </w:rPr>
              <w:t>（主创人员）</w:t>
            </w:r>
          </w:p>
        </w:tc>
        <w:tc>
          <w:tcPr>
            <w:tcW w:w="2690" w:type="dxa"/>
            <w:gridSpan w:val="3"/>
            <w:vAlign w:val="center"/>
          </w:tcPr>
          <w:p>
            <w:pPr>
              <w:widowControl w:val="0"/>
              <w:ind w:firstLine="560" w:firstLineChars="200"/>
              <w:rPr>
                <w:rFonts w:hint="eastAsia" w:ascii="华文中宋" w:hAnsi="华文中宋" w:eastAsia="华文中宋" w:cs="华文中宋"/>
                <w:sz w:val="28"/>
                <w:szCs w:val="28"/>
                <w:highlight w:val="yellow"/>
              </w:rPr>
            </w:pPr>
            <w:r>
              <w:rPr>
                <w:rFonts w:hint="eastAsia" w:ascii="华文中宋" w:hAnsi="华文中宋" w:eastAsia="华文中宋" w:cs="华文中宋"/>
                <w:kern w:val="2"/>
                <w:sz w:val="28"/>
                <w:szCs w:val="28"/>
              </w:rPr>
              <w:t>王斗斗</w:t>
            </w:r>
          </w:p>
        </w:tc>
        <w:tc>
          <w:tcPr>
            <w:tcW w:w="1460" w:type="dxa"/>
            <w:gridSpan w:val="2"/>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编辑</w:t>
            </w:r>
          </w:p>
        </w:tc>
        <w:tc>
          <w:tcPr>
            <w:tcW w:w="4011" w:type="dxa"/>
            <w:gridSpan w:val="5"/>
            <w:vAlign w:val="center"/>
          </w:tcPr>
          <w:p>
            <w:pPr>
              <w:spacing w:line="260" w:lineRule="exact"/>
              <w:ind w:firstLine="560" w:firstLineChars="200"/>
              <w:rPr>
                <w:rFonts w:hint="eastAsia" w:ascii="华文中宋" w:hAnsi="华文中宋" w:eastAsia="华文中宋" w:cs="华文中宋"/>
                <w:w w:val="95"/>
                <w:sz w:val="28"/>
                <w:szCs w:val="28"/>
                <w:highlight w:val="yellow"/>
              </w:rPr>
            </w:pPr>
            <w:r>
              <w:rPr>
                <w:rFonts w:hint="eastAsia" w:ascii="华文中宋" w:hAnsi="华文中宋" w:eastAsia="华文中宋" w:cs="华文中宋"/>
                <w:kern w:val="2"/>
                <w:sz w:val="28"/>
                <w:szCs w:val="28"/>
              </w:rPr>
              <w:t>郭晓宇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4"/>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刊播单位</w:t>
            </w:r>
          </w:p>
        </w:tc>
        <w:tc>
          <w:tcPr>
            <w:tcW w:w="2690" w:type="dxa"/>
            <w:gridSpan w:val="3"/>
            <w:vAlign w:val="center"/>
          </w:tcPr>
          <w:p>
            <w:pPr>
              <w:widowControl w:val="0"/>
              <w:ind w:firstLine="560" w:firstLineChars="200"/>
              <w:rPr>
                <w:rFonts w:hint="eastAsia" w:ascii="华文中宋" w:hAnsi="华文中宋" w:eastAsia="华文中宋" w:cs="华文中宋"/>
                <w:kern w:val="2"/>
                <w:sz w:val="28"/>
                <w:szCs w:val="28"/>
              </w:rPr>
            </w:pPr>
            <w:r>
              <w:rPr>
                <w:rFonts w:hint="eastAsia" w:ascii="华文中宋" w:hAnsi="华文中宋" w:eastAsia="华文中宋" w:cs="华文中宋"/>
                <w:kern w:val="2"/>
                <w:sz w:val="28"/>
                <w:szCs w:val="28"/>
                <w:lang w:val="en-US" w:eastAsia="zh-CN"/>
              </w:rPr>
              <w:t>法治</w:t>
            </w:r>
            <w:r>
              <w:rPr>
                <w:rFonts w:hint="eastAsia" w:ascii="华文中宋" w:hAnsi="华文中宋" w:eastAsia="华文中宋" w:cs="华文中宋"/>
                <w:kern w:val="2"/>
                <w:sz w:val="28"/>
                <w:szCs w:val="28"/>
              </w:rPr>
              <w:t>日报</w:t>
            </w:r>
          </w:p>
        </w:tc>
        <w:tc>
          <w:tcPr>
            <w:tcW w:w="1460" w:type="dxa"/>
            <w:gridSpan w:val="2"/>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刊播日期</w:t>
            </w:r>
          </w:p>
        </w:tc>
        <w:tc>
          <w:tcPr>
            <w:tcW w:w="4011" w:type="dxa"/>
            <w:gridSpan w:val="5"/>
            <w:vAlign w:val="center"/>
          </w:tcPr>
          <w:p>
            <w:pPr>
              <w:spacing w:line="260" w:lineRule="exact"/>
              <w:ind w:firstLine="560" w:firstLineChars="200"/>
              <w:rPr>
                <w:rFonts w:hint="eastAsia" w:ascii="华文中宋" w:hAnsi="华文中宋" w:eastAsia="华文中宋" w:cs="华文中宋"/>
                <w:kern w:val="2"/>
                <w:sz w:val="28"/>
                <w:szCs w:val="28"/>
              </w:rPr>
            </w:pPr>
            <w:r>
              <w:rPr>
                <w:rFonts w:hint="eastAsia" w:ascii="华文中宋" w:hAnsi="华文中宋" w:eastAsia="华文中宋" w:cs="华文中宋"/>
                <w:kern w:val="2"/>
                <w:sz w:val="28"/>
                <w:szCs w:val="28"/>
              </w:rPr>
              <w:t>2020-2-25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刊播版</w:t>
            </w:r>
          </w:p>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rPr>
              <w:t>(名称和版次)</w:t>
            </w:r>
          </w:p>
        </w:tc>
        <w:tc>
          <w:tcPr>
            <w:tcW w:w="2690" w:type="dxa"/>
            <w:gridSpan w:val="3"/>
            <w:vAlign w:val="center"/>
          </w:tcPr>
          <w:p>
            <w:pPr>
              <w:ind w:firstLine="700" w:firstLineChars="250"/>
              <w:rPr>
                <w:rFonts w:hint="eastAsia" w:ascii="华文中宋" w:hAnsi="华文中宋" w:eastAsia="华文中宋" w:cs="华文中宋"/>
                <w:sz w:val="28"/>
                <w:szCs w:val="28"/>
              </w:rPr>
            </w:pPr>
            <w:r>
              <w:rPr>
                <w:rFonts w:hint="eastAsia" w:ascii="华文中宋" w:hAnsi="华文中宋" w:eastAsia="华文中宋" w:cs="华文中宋"/>
                <w:sz w:val="28"/>
                <w:szCs w:val="28"/>
              </w:rPr>
              <w:t>五版</w:t>
            </w:r>
          </w:p>
        </w:tc>
        <w:tc>
          <w:tcPr>
            <w:tcW w:w="1460" w:type="dxa"/>
            <w:gridSpan w:val="2"/>
            <w:vAlign w:val="center"/>
          </w:tcPr>
          <w:p>
            <w:pPr>
              <w:spacing w:line="4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作品字数</w:t>
            </w:r>
          </w:p>
          <w:p>
            <w:pPr>
              <w:spacing w:line="400" w:lineRule="exact"/>
              <w:jc w:val="center"/>
              <w:rPr>
                <w:rFonts w:hint="eastAsia" w:ascii="华文中宋" w:hAnsi="华文中宋" w:eastAsia="华文中宋" w:cs="华文中宋"/>
              </w:rPr>
            </w:pPr>
            <w:r>
              <w:rPr>
                <w:rFonts w:hint="eastAsia" w:ascii="华文中宋" w:hAnsi="华文中宋" w:eastAsia="华文中宋" w:cs="华文中宋"/>
              </w:rPr>
              <w:t>（时长）</w:t>
            </w:r>
          </w:p>
        </w:tc>
        <w:tc>
          <w:tcPr>
            <w:tcW w:w="4011" w:type="dxa"/>
            <w:gridSpan w:val="5"/>
            <w:vAlign w:val="center"/>
          </w:tcPr>
          <w:p>
            <w:pPr>
              <w:spacing w:line="260" w:lineRule="exact"/>
              <w:ind w:firstLine="560" w:firstLineChars="200"/>
              <w:rPr>
                <w:rFonts w:hint="eastAsia" w:ascii="华文中宋" w:hAnsi="华文中宋" w:eastAsia="华文中宋" w:cs="华文中宋"/>
                <w:w w:val="95"/>
                <w:sz w:val="28"/>
                <w:szCs w:val="28"/>
              </w:rPr>
            </w:pPr>
            <w:r>
              <w:rPr>
                <w:rFonts w:hint="eastAsia" w:ascii="华文中宋" w:hAnsi="华文中宋" w:eastAsia="华文中宋" w:cs="华文中宋"/>
                <w:kern w:val="2"/>
                <w:sz w:val="28"/>
                <w:szCs w:val="28"/>
              </w:rPr>
              <w:t>1658字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1" w:hRule="exact"/>
          <w:jc w:val="center"/>
        </w:trPr>
        <w:tc>
          <w:tcPr>
            <w:tcW w:w="959" w:type="dxa"/>
            <w:gridSpan w:val="2"/>
            <w:vAlign w:val="center"/>
          </w:tcPr>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采作</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编品</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过简</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程介</w:t>
            </w:r>
          </w:p>
          <w:p>
            <w:pPr>
              <w:spacing w:line="300" w:lineRule="exact"/>
              <w:jc w:val="center"/>
              <w:rPr>
                <w:rFonts w:hint="eastAsia" w:ascii="华文中宋" w:hAnsi="华文中宋" w:eastAsia="华文中宋" w:cs="华文中宋"/>
                <w:sz w:val="28"/>
                <w:szCs w:val="28"/>
              </w:rPr>
            </w:pPr>
            <w:r>
              <w:rPr>
                <w:rFonts w:hint="eastAsia" w:ascii="华文中宋" w:hAnsi="华文中宋" w:eastAsia="华文中宋" w:cs="华文中宋"/>
              </w:rPr>
              <w:t>︶</w:t>
            </w:r>
          </w:p>
        </w:tc>
        <w:tc>
          <w:tcPr>
            <w:tcW w:w="8788" w:type="dxa"/>
            <w:gridSpan w:val="12"/>
          </w:tcPr>
          <w:p>
            <w:pPr>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2020年2月17日，十三届全国人大常委会第四十七次委员长会议传出信息，十三届全国人大三次会议或将推迟。记者从受众角度思考，提出三个问题：是否推迟过？影响大吗？法律允许吗？全国人大常委会法工委原副主任阚珂在全国人大工作30多年，参加了7届全国人大的30次全国人大会议的工作，亲身经历了人民代表大会制度的历史演进。经与他多次采访沟通，他详细回应了这些问题。采访内容专业性强、历史跨度大，记者力求用直白简短的文字，给读者能看得懂的答案。2020年2月24日，距离武汉封城已过去一个月，十三届全国人大常委会第十六次会议表决通过关于推迟召开十三届全国人大三次会议的决定。次日，法制日报刊发此文，权威回应社会对大会推迟召开的关切。</w:t>
            </w:r>
          </w:p>
          <w:p>
            <w:pPr>
              <w:widowControl w:val="0"/>
              <w:ind w:firstLine="560" w:firstLineChars="200"/>
              <w:rPr>
                <w:rFonts w:hint="eastAsia" w:ascii="华文中宋" w:hAnsi="华文中宋"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exact"/>
          <w:jc w:val="center"/>
        </w:trPr>
        <w:tc>
          <w:tcPr>
            <w:tcW w:w="959" w:type="dxa"/>
            <w:gridSpan w:val="2"/>
            <w:vAlign w:val="center"/>
          </w:tcPr>
          <w:p>
            <w:pPr>
              <w:widowControl w:val="0"/>
              <w:spacing w:line="300" w:lineRule="exact"/>
              <w:jc w:val="center"/>
              <w:rPr>
                <w:rFonts w:hint="eastAsia" w:ascii="华文中宋" w:hAnsi="华文中宋" w:eastAsia="华文中宋" w:cs="华文中宋"/>
              </w:rPr>
            </w:pPr>
            <w:r>
              <w:rPr>
                <w:rFonts w:hint="eastAsia" w:ascii="华文中宋" w:hAnsi="华文中宋" w:eastAsia="华文中宋" w:cs="华文中宋"/>
              </w:rPr>
              <w:t>全传</w:t>
            </w:r>
          </w:p>
          <w:p>
            <w:pPr>
              <w:widowControl w:val="0"/>
              <w:spacing w:line="300" w:lineRule="exact"/>
              <w:jc w:val="center"/>
              <w:rPr>
                <w:rFonts w:hint="eastAsia" w:ascii="华文中宋" w:hAnsi="华文中宋" w:eastAsia="华文中宋" w:cs="华文中宋"/>
              </w:rPr>
            </w:pPr>
            <w:r>
              <w:rPr>
                <w:rFonts w:hint="eastAsia" w:ascii="华文中宋" w:hAnsi="华文中宋" w:eastAsia="华文中宋" w:cs="华文中宋"/>
              </w:rPr>
              <w:t>媒播</w:t>
            </w:r>
          </w:p>
          <w:p>
            <w:pPr>
              <w:widowControl w:val="0"/>
              <w:spacing w:line="300" w:lineRule="exact"/>
              <w:jc w:val="center"/>
              <w:rPr>
                <w:rFonts w:hint="eastAsia" w:ascii="华文中宋" w:hAnsi="华文中宋" w:eastAsia="华文中宋" w:cs="华文中宋"/>
              </w:rPr>
            </w:pPr>
            <w:r>
              <w:rPr>
                <w:rFonts w:hint="eastAsia" w:ascii="华文中宋" w:hAnsi="华文中宋" w:eastAsia="华文中宋" w:cs="华文中宋"/>
              </w:rPr>
              <w:t>体实</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 xml:space="preserve">  效</w:t>
            </w:r>
          </w:p>
        </w:tc>
        <w:tc>
          <w:tcPr>
            <w:tcW w:w="8788" w:type="dxa"/>
            <w:gridSpan w:val="12"/>
          </w:tcPr>
          <w:p>
            <w:pPr>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受新冠肺炎疫情影响，2020年全国两会推迟召开，备受世界瞩目。这篇文章在呈现时坚持移动优先，通过报、网、微融合刊发，把主流媒体影响力延伸至更广空间。此稿全网信息量253条，其中网站70篇，客户端123篇，微信文章24篇。文章观点引起广泛共鸣，有网友留言称， “在保护人民生命安全面前，我们国家不惜一切代价”“大会推迟召开，更加坚定了我们夺取抗击疫情最终胜利的信心和决心”。</w:t>
            </w:r>
          </w:p>
          <w:p>
            <w:pPr>
              <w:widowControl w:val="0"/>
              <w:ind w:firstLine="420" w:firstLineChars="200"/>
              <w:rPr>
                <w:rFonts w:hint="eastAsia" w:ascii="华文中宋" w:hAnsi="华文中宋" w:eastAsia="华文中宋" w:cs="华文中宋"/>
                <w:color w:val="80808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exact"/>
          <w:jc w:val="center"/>
        </w:trPr>
        <w:tc>
          <w:tcPr>
            <w:tcW w:w="959" w:type="dxa"/>
            <w:gridSpan w:val="2"/>
            <w:vAlign w:val="center"/>
          </w:tcPr>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社</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会</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效</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果</w:t>
            </w:r>
          </w:p>
        </w:tc>
        <w:tc>
          <w:tcPr>
            <w:tcW w:w="8788" w:type="dxa"/>
            <w:gridSpan w:val="12"/>
          </w:tcPr>
          <w:p>
            <w:pPr>
              <w:widowControl w:val="0"/>
              <w:ind w:firstLine="420" w:firstLineChars="200"/>
              <w:rPr>
                <w:rFonts w:hint="eastAsia" w:ascii="华文中宋" w:hAnsi="华文中宋" w:eastAsia="华文中宋" w:cs="华文中宋"/>
                <w:color w:val="808080"/>
                <w:kern w:val="2"/>
                <w:sz w:val="21"/>
                <w:szCs w:val="21"/>
              </w:rPr>
            </w:pPr>
            <w:r>
              <w:rPr>
                <w:rFonts w:hint="eastAsia" w:ascii="华文中宋" w:hAnsi="华文中宋" w:eastAsia="华文中宋" w:cs="华文中宋"/>
                <w:color w:val="000000"/>
                <w:sz w:val="21"/>
                <w:szCs w:val="21"/>
              </w:rPr>
              <w:t>这篇文章是中央主流媒体首篇对全国人大会议推迟召开进行解读的报道。文章新闻时效性强，注重专业性同可读性结合，及时回应舆论关切，指出全国人大常委会作出推迟召开十三届全国人大三次会议的决定，是依法的、严肃的，也是从容的、理智的政治决策。文章在引导社会舆论的同时，也借助新闻热点，再次向受众阐述人民代表大会制度的优势。以通俗的语言，把“中国特色”讲清楚，把“显著优势”说明白，让国家根本政治制度深入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exact"/>
          <w:jc w:val="center"/>
        </w:trPr>
        <w:tc>
          <w:tcPr>
            <w:tcW w:w="959" w:type="dxa"/>
            <w:gridSpan w:val="2"/>
            <w:vAlign w:val="center"/>
          </w:tcPr>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推</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荐</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理</w:t>
            </w:r>
          </w:p>
          <w:p>
            <w:pPr>
              <w:spacing w:line="300" w:lineRule="exact"/>
              <w:jc w:val="center"/>
              <w:rPr>
                <w:rFonts w:hint="eastAsia" w:ascii="华文中宋" w:hAnsi="华文中宋" w:eastAsia="华文中宋" w:cs="华文中宋"/>
              </w:rPr>
            </w:pPr>
            <w:r>
              <w:rPr>
                <w:rFonts w:hint="eastAsia" w:ascii="华文中宋" w:hAnsi="华文中宋" w:eastAsia="华文中宋" w:cs="华文中宋"/>
              </w:rPr>
              <w:t>由</w:t>
            </w:r>
          </w:p>
        </w:tc>
        <w:tc>
          <w:tcPr>
            <w:tcW w:w="8788" w:type="dxa"/>
            <w:gridSpan w:val="12"/>
          </w:tcPr>
          <w:p>
            <w:pPr>
              <w:ind w:firstLine="420" w:firstLineChars="200"/>
              <w:rPr>
                <w:rFonts w:hint="eastAsia" w:ascii="华文中宋" w:hAnsi="华文中宋" w:eastAsia="华文中宋" w:cs="华文中宋"/>
                <w:color w:val="000000"/>
                <w:szCs w:val="21"/>
              </w:rPr>
            </w:pPr>
            <w:r>
              <w:rPr>
                <w:rFonts w:hint="eastAsia" w:ascii="华文中宋" w:hAnsi="华文中宋" w:eastAsia="华文中宋" w:cs="华文中宋"/>
                <w:color w:val="000000"/>
                <w:sz w:val="21"/>
                <w:szCs w:val="21"/>
              </w:rPr>
              <w:t>面对40多年来我国首次推迟召开全国人大会议，这篇文章在第一时间发声，理性阐释了“推迟召开大会不会影响国家机关运转”。文章政治站位高，践行“短实新”文风，脉络清晰，信息量大，极富法治特色。文章通过选取公众最关心的问题，让专家发声，为公众释惑，激发共鸣，达成共识，鲜明展示出我国集中力量办大事的制度优势，充分彰显了人民至上、生命至上的理念。</w:t>
            </w:r>
          </w:p>
          <w:p>
            <w:pPr>
              <w:spacing w:line="360" w:lineRule="exact"/>
              <w:ind w:firstLine="3864" w:firstLineChars="1400"/>
              <w:rPr>
                <w:rFonts w:hint="eastAsia" w:ascii="华文中宋" w:hAnsi="华文中宋" w:eastAsia="华文中宋" w:cs="华文中宋"/>
                <w:spacing w:val="-2"/>
                <w:sz w:val="28"/>
                <w:szCs w:val="28"/>
              </w:rPr>
            </w:pPr>
            <w:r>
              <w:rPr>
                <w:rFonts w:hint="eastAsia" w:ascii="华文中宋" w:hAnsi="华文中宋" w:eastAsia="华文中宋" w:cs="华文中宋"/>
                <w:spacing w:val="-2"/>
                <w:sz w:val="28"/>
                <w:szCs w:val="28"/>
              </w:rPr>
              <w:t>签名：</w:t>
            </w:r>
          </w:p>
          <w:p>
            <w:pPr>
              <w:spacing w:line="360" w:lineRule="exact"/>
              <w:ind w:firstLine="5460" w:firstLineChars="1950"/>
              <w:rPr>
                <w:rFonts w:hint="eastAsia" w:ascii="华文中宋" w:hAnsi="华文中宋" w:eastAsia="华文中宋" w:cs="华文中宋"/>
                <w:sz w:val="28"/>
                <w:szCs w:val="28"/>
              </w:rPr>
            </w:pPr>
            <w:r>
              <w:rPr>
                <w:rFonts w:hint="eastAsia" w:ascii="华文中宋" w:hAnsi="华文中宋" w:eastAsia="华文中宋" w:cs="华文中宋"/>
                <w:sz w:val="28"/>
                <w:szCs w:val="28"/>
              </w:rPr>
              <w:t>（盖单位公章）</w:t>
            </w:r>
          </w:p>
          <w:p>
            <w:pPr>
              <w:spacing w:line="360" w:lineRule="exact"/>
              <w:rPr>
                <w:rFonts w:hint="eastAsia" w:ascii="华文中宋" w:hAnsi="华文中宋" w:eastAsia="华文中宋" w:cs="华文中宋"/>
                <w:color w:val="808080"/>
                <w:kern w:val="2"/>
                <w:sz w:val="21"/>
                <w:szCs w:val="21"/>
              </w:rPr>
            </w:pP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t>2021年</w:t>
            </w:r>
            <w:r>
              <w:rPr>
                <w:rFonts w:hint="eastAsia" w:ascii="华文中宋" w:hAnsi="华文中宋" w:eastAsia="华文中宋" w:cs="华文中宋"/>
                <w:sz w:val="28"/>
                <w:szCs w:val="28"/>
                <w:lang w:val="en-US" w:eastAsia="zh-CN"/>
              </w:rPr>
              <w:t>4</w:t>
            </w:r>
            <w:r>
              <w:rPr>
                <w:rFonts w:hint="eastAsia" w:ascii="华文中宋" w:hAnsi="华文中宋" w:eastAsia="华文中宋" w:cs="华文中宋"/>
                <w:sz w:val="28"/>
                <w:szCs w:val="28"/>
              </w:rPr>
              <w:t xml:space="preserve"> 月</w:t>
            </w:r>
            <w:r>
              <w:rPr>
                <w:rFonts w:hint="eastAsia" w:ascii="华文中宋" w:hAnsi="华文中宋" w:eastAsia="华文中宋" w:cs="华文中宋"/>
                <w:sz w:val="28"/>
                <w:szCs w:val="28"/>
                <w:lang w:val="en-US" w:eastAsia="zh-CN"/>
              </w:rPr>
              <w:t>20</w:t>
            </w:r>
            <w:r>
              <w:rPr>
                <w:rFonts w:hint="eastAsia" w:ascii="华文中宋" w:hAnsi="华文中宋" w:eastAsia="华文中宋" w:cs="华文中宋"/>
                <w:sz w:val="28"/>
                <w:szCs w:val="28"/>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王斗斗</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手机</w:t>
            </w:r>
          </w:p>
        </w:tc>
        <w:tc>
          <w:tcPr>
            <w:tcW w:w="3969" w:type="dxa"/>
            <w:gridSpan w:val="4"/>
            <w:tcBorders>
              <w:top w:val="single" w:color="auto" w:sz="4" w:space="0"/>
              <w:left w:val="single" w:color="auto" w:sz="4" w:space="0"/>
              <w:bottom w:val="single" w:color="auto" w:sz="4" w:space="0"/>
            </w:tcBorders>
            <w:vAlign w:val="center"/>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13911600321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84772625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E-mail</w:t>
            </w:r>
          </w:p>
        </w:tc>
        <w:tc>
          <w:tcPr>
            <w:tcW w:w="4961" w:type="dxa"/>
            <w:gridSpan w:val="6"/>
            <w:tcBorders>
              <w:left w:val="single" w:color="auto" w:sz="4" w:space="0"/>
              <w:bottom w:val="single" w:color="auto" w:sz="4" w:space="0"/>
            </w:tcBorders>
            <w:vAlign w:val="center"/>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fzrbtj@126.com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北京市朝阳区花家地甲1号</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hint="eastAsia" w:ascii="华文中宋" w:hAnsi="华文中宋" w:eastAsia="华文中宋" w:cs="华文中宋"/>
              </w:rPr>
            </w:pPr>
            <w:r>
              <w:rPr>
                <w:rFonts w:hint="eastAsia" w:ascii="华文中宋" w:hAnsi="华文中宋" w:eastAsia="华文中宋" w:cs="华文中宋"/>
              </w:rPr>
              <w:t>邮编</w:t>
            </w:r>
          </w:p>
        </w:tc>
        <w:tc>
          <w:tcPr>
            <w:tcW w:w="2976" w:type="dxa"/>
            <w:gridSpan w:val="2"/>
            <w:tcBorders>
              <w:left w:val="single" w:color="auto" w:sz="4" w:space="0"/>
              <w:bottom w:val="single" w:color="auto" w:sz="4" w:space="0"/>
            </w:tcBorders>
          </w:tcPr>
          <w:p>
            <w:pPr>
              <w:snapToGrid w:val="0"/>
              <w:spacing w:line="240" w:lineRule="exact"/>
              <w:jc w:val="both"/>
              <w:rPr>
                <w:rFonts w:hint="eastAsia" w:ascii="华文中宋" w:hAnsi="华文中宋" w:eastAsia="华文中宋" w:cs="华文中宋"/>
              </w:rPr>
            </w:pPr>
            <w:r>
              <w:rPr>
                <w:rFonts w:hint="eastAsia" w:ascii="华文中宋" w:hAnsi="华文中宋" w:eastAsia="华文中宋" w:cs="华文中宋"/>
              </w:rPr>
              <w:t>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hint="eastAsia" w:ascii="华文中宋" w:hAnsi="华文中宋" w:eastAsia="华文中宋" w:cs="华文中宋"/>
                <w:sz w:val="28"/>
                <w:szCs w:val="28"/>
              </w:rPr>
            </w:pPr>
            <w:r>
              <w:rPr>
                <w:rFonts w:hint="eastAsia" w:ascii="华文中宋" w:hAnsi="华文中宋" w:eastAsia="华文中宋" w:cs="华文中宋"/>
                <w:sz w:val="28"/>
                <w:szCs w:val="28"/>
              </w:rPr>
              <w:t>此表可从中国记协网www.zgjx.cn和中国青年网www.youth.cn网站下载。</w:t>
            </w:r>
          </w:p>
        </w:tc>
      </w:tr>
    </w:tbl>
    <w:p>
      <w:pPr>
        <w:rPr>
          <w:rFonts w:hint="eastAsia" w:ascii="华文中宋" w:hAnsi="华文中宋" w:eastAsia="华文中宋" w:cs="华文中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8C5"/>
    <w:rsid w:val="000A607D"/>
    <w:rsid w:val="00226428"/>
    <w:rsid w:val="002A7AF1"/>
    <w:rsid w:val="002C2E54"/>
    <w:rsid w:val="002D596F"/>
    <w:rsid w:val="0035381D"/>
    <w:rsid w:val="0037211A"/>
    <w:rsid w:val="00386BFF"/>
    <w:rsid w:val="003B0B4D"/>
    <w:rsid w:val="003B5A39"/>
    <w:rsid w:val="003E3E28"/>
    <w:rsid w:val="005021D9"/>
    <w:rsid w:val="00532A08"/>
    <w:rsid w:val="00562975"/>
    <w:rsid w:val="005C7454"/>
    <w:rsid w:val="005D38F3"/>
    <w:rsid w:val="00631748"/>
    <w:rsid w:val="00675BA6"/>
    <w:rsid w:val="006B0BC9"/>
    <w:rsid w:val="006B7B35"/>
    <w:rsid w:val="006D7096"/>
    <w:rsid w:val="008207CE"/>
    <w:rsid w:val="008A4ECE"/>
    <w:rsid w:val="0091212A"/>
    <w:rsid w:val="00924198"/>
    <w:rsid w:val="00965D99"/>
    <w:rsid w:val="009E49E6"/>
    <w:rsid w:val="00A14EFC"/>
    <w:rsid w:val="00A37DF4"/>
    <w:rsid w:val="00C56800"/>
    <w:rsid w:val="00CB68C5"/>
    <w:rsid w:val="00CC239D"/>
    <w:rsid w:val="00D807AF"/>
    <w:rsid w:val="00D95AEB"/>
    <w:rsid w:val="00DE5B11"/>
    <w:rsid w:val="00E46003"/>
    <w:rsid w:val="00E83CE4"/>
    <w:rsid w:val="00EE2FAF"/>
    <w:rsid w:val="00F0677F"/>
    <w:rsid w:val="00F32C54"/>
    <w:rsid w:val="00F37D83"/>
    <w:rsid w:val="00F479D9"/>
    <w:rsid w:val="00F54E0B"/>
    <w:rsid w:val="00F97DE0"/>
    <w:rsid w:val="00FF04A3"/>
    <w:rsid w:val="05F20AD7"/>
    <w:rsid w:val="3C005C88"/>
    <w:rsid w:val="4AD53127"/>
    <w:rsid w:val="54144E64"/>
    <w:rsid w:val="6FAD71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2"/>
    <w:qFormat/>
    <w:uiPriority w:val="99"/>
    <w:pPr>
      <w:widowControl w:val="0"/>
      <w:spacing w:after="120"/>
      <w:jc w:val="both"/>
    </w:pPr>
    <w:rPr>
      <w:kern w:val="2"/>
      <w:sz w:val="16"/>
      <w:szCs w:val="16"/>
    </w:rPr>
  </w:style>
  <w:style w:type="paragraph" w:styleId="3">
    <w:name w:val="footer"/>
    <w:basedOn w:val="1"/>
    <w:link w:val="7"/>
    <w:qFormat/>
    <w:uiPriority w:val="99"/>
    <w:pPr>
      <w:tabs>
        <w:tab w:val="center" w:pos="4153"/>
        <w:tab w:val="right" w:pos="8306"/>
      </w:tabs>
      <w:snapToGrid w:val="0"/>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kern w:val="0"/>
      <w:sz w:val="18"/>
      <w:szCs w:val="18"/>
    </w:rPr>
  </w:style>
  <w:style w:type="character" w:customStyle="1" w:styleId="8">
    <w:name w:val="页脚 Char"/>
    <w:semiHidden/>
    <w:qFormat/>
    <w:uiPriority w:val="99"/>
    <w:rPr>
      <w:rFonts w:ascii="Times New Roman" w:hAnsi="Times New Roman" w:eastAsia="宋体" w:cs="Times New Roman"/>
      <w:kern w:val="0"/>
      <w:sz w:val="18"/>
      <w:szCs w:val="18"/>
    </w:rPr>
  </w:style>
  <w:style w:type="character" w:customStyle="1" w:styleId="9">
    <w:name w:val="页眉 字符"/>
    <w:link w:val="4"/>
    <w:locked/>
    <w:uiPriority w:val="99"/>
    <w:rPr>
      <w:rFonts w:ascii="Times New Roman" w:hAnsi="Times New Roman" w:eastAsia="宋体" w:cs="Times New Roman"/>
      <w:kern w:val="0"/>
      <w:sz w:val="18"/>
      <w:szCs w:val="18"/>
    </w:rPr>
  </w:style>
  <w:style w:type="character" w:customStyle="1" w:styleId="10">
    <w:name w:val="Header Char1"/>
    <w:semiHidden/>
    <w:qFormat/>
    <w:locked/>
    <w:uiPriority w:val="99"/>
    <w:rPr>
      <w:rFonts w:ascii="Times New Roman" w:hAnsi="Times New Roman" w:cs="Times New Roman"/>
      <w:kern w:val="0"/>
      <w:sz w:val="18"/>
      <w:szCs w:val="18"/>
    </w:rPr>
  </w:style>
  <w:style w:type="character" w:customStyle="1" w:styleId="11">
    <w:name w:val="页眉 Char1"/>
    <w:semiHidden/>
    <w:qFormat/>
    <w:uiPriority w:val="99"/>
    <w:rPr>
      <w:rFonts w:ascii="Times New Roman" w:hAnsi="Times New Roman" w:eastAsia="宋体" w:cs="Times New Roman"/>
      <w:kern w:val="0"/>
      <w:sz w:val="18"/>
      <w:szCs w:val="18"/>
    </w:rPr>
  </w:style>
  <w:style w:type="character" w:customStyle="1" w:styleId="12">
    <w:name w:val="正文文本 3 字符"/>
    <w:link w:val="2"/>
    <w:qFormat/>
    <w:locked/>
    <w:uiPriority w:val="99"/>
    <w:rPr>
      <w:rFonts w:ascii="Times New Roman" w:hAnsi="Times New Roman" w:eastAsia="宋体" w:cs="Times New Roman"/>
      <w:sz w:val="16"/>
      <w:szCs w:val="16"/>
    </w:rPr>
  </w:style>
  <w:style w:type="character" w:customStyle="1" w:styleId="13">
    <w:name w:val="Body Text 3 Char1"/>
    <w:semiHidden/>
    <w:qFormat/>
    <w:locked/>
    <w:uiPriority w:val="99"/>
    <w:rPr>
      <w:rFonts w:ascii="Times New Roman" w:hAnsi="Times New Roman" w:cs="Times New Roman"/>
      <w:kern w:val="0"/>
      <w:sz w:val="16"/>
      <w:szCs w:val="16"/>
    </w:rPr>
  </w:style>
  <w:style w:type="character" w:customStyle="1" w:styleId="14">
    <w:name w:val="正文文本 3 Char1"/>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618</Words>
  <Characters>618</Characters>
  <Lines>18</Lines>
  <Paragraphs>13</Paragraphs>
  <TotalTime>57</TotalTime>
  <ScaleCrop>false</ScaleCrop>
  <LinksUpToDate>false</LinksUpToDate>
  <CharactersWithSpaces>1223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2021-04-08T08:32:00Z</dcterms:created>
  <dc:creator>张桂明</dc:creator>
  <cp:lastModifiedBy>Ch</cp:lastModifiedBy>
  <cp:lastPrinted>2021-04-19T06:12:00Z</cp:lastPrinted>
  <dcterms:modified xsi:type="dcterms:W3CDTF">2021-05-29T12:53:27Z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FCB0192886F8421E8EBD2E7771ABB644</vt:lpwstr>
  </property>
</Properties>
</file>