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华文中宋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kern w:val="2"/>
                <w:sz w:val="21"/>
                <w:szCs w:val="21"/>
              </w:rPr>
              <w:t>查处形式主义官僚主义问题数据首次公布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eastAsia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文字消息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毛翔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张弛 许仲</w:t>
            </w:r>
            <w:r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中央纪委国家监委</w:t>
            </w:r>
          </w:p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新闻传播中心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80808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闻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一版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方正仿宋_GBK" w:hAnsi="仿宋" w:eastAsia="方正仿宋_GBK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80" w:lineRule="exact"/>
              <w:ind w:firstLine="422" w:firstLineChars="200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公布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查处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违反中央八项规定精神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问题数据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中央纪委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监委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的规定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动作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十九届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中央纪委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四次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强调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坚持从讲政治高度整治形式主义、官僚主义。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结束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到违反中央八项规定精神问题数据统计指标将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迎来重大调整，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记者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及时采访中央纪委国家监委党风政风监督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负责同志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总结梳理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统计指标的两个显著变化并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面向社会首发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：一是首次公开发布查处形式主义、官僚主义问题数据，二是对查处享乐主义、奢靡之风问题的数据统计指标进行了优化调整。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结合去年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查处问题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数据和四次全会工作部署，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记者就新一年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工作重点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采访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了相关负责人，为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各级党组织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和纪检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监察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机关推动查纠“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四风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exact"/>
          <w:jc w:val="center"/>
        </w:trPr>
        <w:tc>
          <w:tcPr>
            <w:tcW w:w="95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80" w:lineRule="exact"/>
              <w:ind w:firstLine="422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借助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中央纪委国家监委新闻传播中心成立的便利，稿件在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报、网、端、微分别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刊发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。微信端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点击量迅速突破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十万+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”，并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被各主流媒体转载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报纸同步刊发记者采写的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《发挥指挥棒作用 推动精准纠治“四风”》深度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解读式报道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，拓展了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报道深度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；网站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消息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和深度解读文章后被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各新闻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各级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纪委监委网站转载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形成梯次传播效应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客户端推出系列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图文报道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，并对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之前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查处的违反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八项规定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精神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特别是形式主义、官僚主义典型问题进行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画像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，持续为党员干部敲响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警钟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80" w:lineRule="exact"/>
              <w:ind w:firstLine="422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形式主义、官僚主义是现阶段党内存在的突出矛盾和问题，群众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对于整治不担当不作为等问题非常关注。中央纪委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监委调整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统计指标，就是在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向全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社会传递严厉惩治形式主义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官僚主义问题的强烈信号。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消息刊发后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被人民网、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新华网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中国网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媒体转载，被人民日报、央视新闻、澎湃新闻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等公众号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二次加工传播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全网传播总量超千万次。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纪委国家监委释放的明确信号，也得到社会群众的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广泛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认可，有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不少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网友在各传播平台点赞并留言提供相关问题线索，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为深入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纠治“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四风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增添</w:t>
            </w:r>
            <w:r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动力。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80" w:lineRule="exact"/>
              <w:ind w:firstLine="422" w:firstLineChars="200"/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本文紧扣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人民群众关心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的社会热点，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报道中央纪委国家监委的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权威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声音，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时效性强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、文字简练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表述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准确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文章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既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体现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纪检监察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机关对纠治“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四风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认识上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的深化，也体现了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作风建设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持续加压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一抓到底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的坚定决心。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作品刊发后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不仅被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各大新闻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网站大量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传播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也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成为群众议论的热点话题，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整治形式主义官僚主义、为基层减负等工作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不断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深入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起到了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推动作用。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方正仿宋_GBK" w:hAnsi="华文中宋" w:eastAsia="方正仿宋_GBK"/>
                <w:b/>
              </w:rPr>
              <w:t>毛翔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15901039772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010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59598057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512211471@qq.com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北京市西城区广安门南街甲2号 新闻</w:t>
            </w:r>
            <w:r>
              <w:rPr>
                <w:rFonts w:ascii="仿宋" w:hAnsi="仿宋" w:eastAsia="仿宋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传播中心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100053</w:t>
            </w:r>
          </w:p>
        </w:tc>
      </w:tr>
    </w:tbl>
    <w:p>
      <w:pPr>
        <w:spacing w:line="20" w:lineRule="exact"/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left"/>
      <w:rPr>
        <w:rFonts w:ascii="楷体" w:hAnsi="楷体" w:eastAsia="楷体"/>
        <w:b/>
        <w:sz w:val="30"/>
        <w:szCs w:val="30"/>
        <w:lang w:eastAsia="zh-CN"/>
      </w:rPr>
    </w:pPr>
    <w:r>
      <w:rPr>
        <w:rFonts w:hint="eastAsia" w:ascii="楷体" w:hAnsi="楷体" w:eastAsia="楷体"/>
        <w:b/>
        <w:sz w:val="30"/>
        <w:szCs w:val="30"/>
      </w:rPr>
      <w:t>附件</w:t>
    </w:r>
    <w:r>
      <w:rPr>
        <w:rFonts w:hint="eastAsia" w:ascii="楷体" w:hAnsi="楷体" w:eastAsia="楷体"/>
        <w:b/>
        <w:sz w:val="30"/>
        <w:szCs w:val="30"/>
        <w:lang w:eastAsia="zh-CN"/>
      </w:rPr>
      <w:t>8</w:t>
    </w:r>
  </w:p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C5"/>
    <w:rsid w:val="00014CDF"/>
    <w:rsid w:val="00113B34"/>
    <w:rsid w:val="00130635"/>
    <w:rsid w:val="00156740"/>
    <w:rsid w:val="00352585"/>
    <w:rsid w:val="003675FD"/>
    <w:rsid w:val="005955E5"/>
    <w:rsid w:val="006062D4"/>
    <w:rsid w:val="006C0645"/>
    <w:rsid w:val="006F4208"/>
    <w:rsid w:val="00765D44"/>
    <w:rsid w:val="00882AFB"/>
    <w:rsid w:val="00973B3A"/>
    <w:rsid w:val="009E1236"/>
    <w:rsid w:val="00A63B77"/>
    <w:rsid w:val="00A81F5C"/>
    <w:rsid w:val="00B56E88"/>
    <w:rsid w:val="00B85AFB"/>
    <w:rsid w:val="00BD2674"/>
    <w:rsid w:val="00C0145A"/>
    <w:rsid w:val="00C153D6"/>
    <w:rsid w:val="00CB68C5"/>
    <w:rsid w:val="00D266CB"/>
    <w:rsid w:val="00D67065"/>
    <w:rsid w:val="00D95AEB"/>
    <w:rsid w:val="00E40E91"/>
    <w:rsid w:val="00F5123A"/>
    <w:rsid w:val="00FD5C97"/>
    <w:rsid w:val="79B6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  <w:lang w:val="zh-CN" w:eastAsia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脚 Char"/>
    <w:basedOn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0">
    <w:name w:val="页眉 Char1"/>
    <w:basedOn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正文文本 3 字符"/>
    <w:basedOn w:val="6"/>
    <w:link w:val="2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character" w:customStyle="1" w:styleId="12">
    <w:name w:val="正文文本 3 Char1"/>
    <w:basedOn w:val="6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1083</Characters>
  <Lines>9</Lines>
  <Paragraphs>2</Paragraphs>
  <TotalTime>232</TotalTime>
  <ScaleCrop>false</ScaleCrop>
  <LinksUpToDate>false</LinksUpToDate>
  <CharactersWithSpaces>1270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2021-04-08T08:32:00Z</dcterms:created>
  <dc:creator>张桂明</dc:creator>
  <cp:lastModifiedBy>Ch</cp:lastModifiedBy>
  <cp:lastPrinted>2021-04-20T07:19:00Z</cp:lastPrinted>
  <dcterms:modified xsi:type="dcterms:W3CDTF">2021-05-29T11:30:01Z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2D343CBB855C48CA8CBFD8445F4D27E0</vt:lpwstr>
  </property>
</Properties>
</file>