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hint="eastAsia" w:ascii="楷体" w:hAnsi="楷体" w:eastAsia="楷体"/>
          <w:b/>
          <w:sz w:val="28"/>
          <w:lang w:val="en-US" w:eastAsia="zh-CN"/>
        </w:rPr>
      </w:pPr>
      <w:r>
        <w:rPr>
          <w:rFonts w:hint="eastAsia" w:ascii="楷体" w:hAnsi="楷体" w:eastAsia="楷体"/>
          <w:b/>
          <w:sz w:val="28"/>
        </w:rPr>
        <w:t>附件</w:t>
      </w:r>
      <w:r>
        <w:rPr>
          <w:rFonts w:ascii="楷体" w:hAnsi="楷体" w:eastAsia="楷体"/>
          <w:b/>
          <w:sz w:val="28"/>
        </w:rPr>
        <w:t>4</w:t>
      </w:r>
      <w:r>
        <w:rPr>
          <w:rFonts w:hint="eastAsia" w:ascii="楷体" w:hAnsi="楷体" w:eastAsia="楷体"/>
          <w:b/>
          <w:sz w:val="28"/>
          <w:lang w:val="en-US" w:eastAsia="zh-CN"/>
        </w:rPr>
        <w:t>·</w:t>
      </w:r>
    </w:p>
    <w:p>
      <w:pPr>
        <w:spacing w:line="380" w:lineRule="exact"/>
        <w:ind w:firstLine="720" w:firstLineChars="200"/>
        <w:jc w:val="center"/>
        <w:rPr>
          <w:rFonts w:ascii="华文中宋" w:hAnsi="华文中宋" w:eastAsia="华文中宋"/>
          <w:color w:val="000000"/>
          <w:kern w:val="2"/>
          <w:sz w:val="36"/>
          <w:szCs w:val="36"/>
        </w:rPr>
      </w:pPr>
      <w:bookmarkStart w:id="0" w:name="_GoBack"/>
      <w:r>
        <w:rPr>
          <w:rFonts w:hint="eastAsia" w:ascii="华文中宋" w:hAnsi="华文中宋" w:eastAsia="华文中宋"/>
          <w:color w:val="000000"/>
          <w:kern w:val="2"/>
          <w:sz w:val="36"/>
          <w:szCs w:val="36"/>
        </w:rPr>
        <w:t>中国新闻奖参评作品推荐表</w:t>
      </w:r>
      <w:bookmarkEnd w:id="0"/>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5"/>
        <w:gridCol w:w="474"/>
        <w:gridCol w:w="424"/>
        <w:gridCol w:w="1382"/>
        <w:gridCol w:w="544"/>
        <w:gridCol w:w="450"/>
        <w:gridCol w:w="828"/>
        <w:gridCol w:w="37"/>
        <w:gridCol w:w="740"/>
        <w:gridCol w:w="126"/>
        <w:gridCol w:w="37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812" w:type="pct"/>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2129" w:type="pct"/>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olor w:val="000000"/>
                <w:kern w:val="2"/>
                <w:sz w:val="28"/>
                <w:szCs w:val="28"/>
              </w:rPr>
            </w:pPr>
          </w:p>
          <w:p>
            <w:pPr>
              <w:snapToGrid w:val="0"/>
              <w:spacing w:line="400" w:lineRule="exact"/>
              <w:jc w:val="both"/>
              <w:rPr>
                <w:rFonts w:ascii="华文中宋" w:hAnsi="华文中宋" w:eastAsia="华文中宋"/>
                <w:sz w:val="28"/>
              </w:rPr>
            </w:pPr>
            <w:r>
              <w:rPr>
                <w:rFonts w:hint="eastAsia" w:ascii="华文中宋" w:hAnsi="华文中宋" w:eastAsia="华文中宋"/>
                <w:sz w:val="28"/>
              </w:rPr>
              <w:t>致敬最可爱的人——纪念抗美援朝70周年·老兵访谈录</w:t>
            </w:r>
          </w:p>
        </w:tc>
        <w:tc>
          <w:tcPr>
            <w:tcW w:w="747" w:type="pct"/>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1309" w:type="pct"/>
            <w:tcBorders>
              <w:top w:val="single" w:color="auto" w:sz="4" w:space="0"/>
              <w:left w:val="single" w:color="auto" w:sz="4" w:space="0"/>
              <w:right w:val="single" w:color="auto" w:sz="4" w:space="0"/>
            </w:tcBorders>
            <w:vAlign w:val="center"/>
          </w:tcPr>
          <w:p>
            <w:pPr>
              <w:snapToGrid w:val="0"/>
              <w:spacing w:line="400" w:lineRule="exact"/>
              <w:jc w:val="both"/>
              <w:rPr>
                <w:rFonts w:asciiTheme="majorEastAsia" w:hAnsiTheme="majorEastAsia" w:eastAsiaTheme="majorEastAsia"/>
                <w:sz w:val="28"/>
              </w:rPr>
            </w:pPr>
            <w:r>
              <w:rPr>
                <w:rFonts w:hint="eastAsia" w:asciiTheme="majorEastAsia" w:hAnsiTheme="majorEastAsia" w:eastAsiaTheme="majorEastAsia"/>
                <w:sz w:val="28"/>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812" w:type="pct"/>
            <w:gridSpan w:val="3"/>
            <w:vMerge w:val="continue"/>
            <w:vAlign w:val="center"/>
          </w:tcPr>
          <w:p>
            <w:pPr>
              <w:spacing w:line="380" w:lineRule="exact"/>
              <w:jc w:val="center"/>
              <w:rPr>
                <w:rFonts w:ascii="华文中宋" w:hAnsi="华文中宋" w:eastAsia="华文中宋"/>
                <w:sz w:val="28"/>
              </w:rPr>
            </w:pPr>
          </w:p>
        </w:tc>
        <w:tc>
          <w:tcPr>
            <w:tcW w:w="2129" w:type="pct"/>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456" w:type="pct"/>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1600" w:type="pct"/>
            <w:gridSpan w:val="3"/>
            <w:tcBorders>
              <w:top w:val="single" w:color="auto" w:sz="4" w:space="0"/>
              <w:left w:val="single" w:color="auto" w:sz="4" w:space="0"/>
              <w:right w:val="single" w:color="auto" w:sz="4" w:space="0"/>
            </w:tcBorders>
            <w:vAlign w:val="center"/>
          </w:tcPr>
          <w:p>
            <w:pPr>
              <w:widowControl w:val="0"/>
              <w:jc w:val="center"/>
              <w:rPr>
                <w:rFonts w:ascii="华文中宋" w:hAnsi="华文中宋" w:eastAsia="华文中宋"/>
                <w:kern w:val="2"/>
                <w:sz w:val="21"/>
                <w:szCs w:val="21"/>
              </w:rPr>
            </w:pPr>
            <w:r>
              <w:rPr>
                <w:rFonts w:hint="eastAsia" w:ascii="华文中宋" w:hAnsi="华文中宋" w:eastAsia="华文中宋"/>
                <w:kern w:val="2"/>
                <w:sz w:val="21"/>
                <w:szCs w:val="21"/>
              </w:rPr>
              <w:t>通讯与深度报道（系列报道）</w:t>
            </w:r>
          </w:p>
          <w:p>
            <w:pPr>
              <w:widowControl w:val="0"/>
              <w:rPr>
                <w:rFonts w:ascii="华文中宋" w:hAnsi="华文中宋" w:eastAsia="华文中宋"/>
                <w:sz w:val="21"/>
                <w:szCs w:val="21"/>
              </w:rPr>
            </w:pPr>
            <w:r>
              <w:rPr>
                <w:rFonts w:hint="eastAsia" w:ascii="华文中宋" w:hAnsi="华文中宋" w:eastAsia="华文中宋"/>
                <w:kern w:val="2"/>
                <w:sz w:val="21"/>
                <w:szCs w:val="21"/>
              </w:rPr>
              <w:t>通讯、通讯、通讯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2" w:type="pct"/>
            <w:gridSpan w:val="3"/>
            <w:vMerge w:val="continue"/>
            <w:vAlign w:val="center"/>
          </w:tcPr>
          <w:p>
            <w:pPr>
              <w:spacing w:line="380" w:lineRule="exact"/>
              <w:jc w:val="center"/>
              <w:rPr>
                <w:rFonts w:ascii="华文中宋" w:hAnsi="华文中宋" w:eastAsia="华文中宋"/>
                <w:sz w:val="28"/>
              </w:rPr>
            </w:pPr>
          </w:p>
        </w:tc>
        <w:tc>
          <w:tcPr>
            <w:tcW w:w="2129" w:type="pct"/>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456" w:type="pct"/>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1600" w:type="pct"/>
            <w:gridSpan w:val="3"/>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kern w:val="2"/>
                <w:sz w:val="28"/>
                <w:szCs w:val="28"/>
              </w:rPr>
            </w:pPr>
            <w:r>
              <w:rPr>
                <w:rFonts w:hint="eastAsia" w:ascii="宋体" w:hAnsi="宋体"/>
                <w:kern w:val="2"/>
                <w:sz w:val="28"/>
                <w:szCs w:val="2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3" w:hRule="atLeast"/>
          <w:jc w:val="center"/>
        </w:trPr>
        <w:tc>
          <w:tcPr>
            <w:tcW w:w="812" w:type="pct"/>
            <w:gridSpan w:val="3"/>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作者</w:t>
            </w:r>
          </w:p>
          <w:p>
            <w:pPr>
              <w:spacing w:line="400" w:lineRule="exact"/>
              <w:jc w:val="center"/>
              <w:rPr>
                <w:rFonts w:asciiTheme="majorEastAsia" w:hAnsiTheme="majorEastAsia" w:eastAsiaTheme="majorEastAsia"/>
                <w:spacing w:val="-12"/>
                <w:sz w:val="28"/>
                <w:szCs w:val="28"/>
              </w:rPr>
            </w:pPr>
            <w:r>
              <w:rPr>
                <w:rFonts w:hint="eastAsia" w:asciiTheme="majorEastAsia" w:hAnsiTheme="majorEastAsia" w:eastAsiaTheme="majorEastAsia"/>
                <w:sz w:val="28"/>
                <w:szCs w:val="28"/>
              </w:rPr>
              <w:t>（主创人员）</w:t>
            </w:r>
          </w:p>
        </w:tc>
        <w:tc>
          <w:tcPr>
            <w:tcW w:w="1379" w:type="pct"/>
            <w:gridSpan w:val="3"/>
            <w:tcBorders>
              <w:top w:val="single" w:color="auto" w:sz="4" w:space="0"/>
              <w:left w:val="single" w:color="auto" w:sz="4" w:space="0"/>
              <w:bottom w:val="single" w:color="auto" w:sz="4" w:space="0"/>
              <w:right w:val="single" w:color="auto" w:sz="4" w:space="0"/>
            </w:tcBorders>
            <w:vAlign w:val="center"/>
          </w:tcPr>
          <w:p>
            <w:pPr>
              <w:widowControl w:val="0"/>
              <w:ind w:firstLine="560" w:firstLineChars="200"/>
              <w:rPr>
                <w:rFonts w:asciiTheme="majorEastAsia" w:hAnsiTheme="majorEastAsia" w:eastAsiaTheme="majorEastAsia"/>
                <w:sz w:val="28"/>
                <w:szCs w:val="28"/>
                <w:highlight w:val="yellow"/>
              </w:rPr>
            </w:pPr>
            <w:r>
              <w:rPr>
                <w:rFonts w:hint="eastAsia" w:asciiTheme="majorEastAsia" w:hAnsiTheme="majorEastAsia" w:eastAsiaTheme="majorEastAsia"/>
                <w:kern w:val="2"/>
                <w:sz w:val="28"/>
                <w:szCs w:val="28"/>
              </w:rPr>
              <w:t>集体</w:t>
            </w:r>
            <w:r>
              <w:rPr>
                <w:rFonts w:hint="eastAsia" w:asciiTheme="majorEastAsia" w:hAnsiTheme="majorEastAsia" w:eastAsiaTheme="majorEastAsia"/>
                <w:color w:val="000000"/>
                <w:kern w:val="2"/>
                <w:sz w:val="28"/>
                <w:szCs w:val="28"/>
              </w:rPr>
              <w:t>（曹智、陶德言、牛纪伟、张非非、徐扬、陈梦阳、李颖、田宝剑、孙仁斌、于也童、赵洪南、包昱涵、丁非白、于力、蔡拥军、高爽、李宇佳、王莹、李铮、陈凡靖、崔师豪、吴子钰、汪伟、邹明仲、张逸飞、郭翔、白涌泉、张博群、范春生、郑锦强）</w:t>
            </w:r>
          </w:p>
        </w:tc>
        <w:tc>
          <w:tcPr>
            <w:tcW w:w="75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编辑</w:t>
            </w:r>
          </w:p>
        </w:tc>
        <w:tc>
          <w:tcPr>
            <w:tcW w:w="2057" w:type="pct"/>
            <w:gridSpan w:val="5"/>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kern w:val="2"/>
                <w:sz w:val="28"/>
                <w:szCs w:val="28"/>
              </w:rPr>
            </w:pPr>
            <w:r>
              <w:rPr>
                <w:rFonts w:hint="eastAsia" w:asciiTheme="majorEastAsia" w:hAnsiTheme="majorEastAsia" w:eastAsiaTheme="majorEastAsia"/>
                <w:kern w:val="2"/>
                <w:sz w:val="28"/>
                <w:szCs w:val="28"/>
              </w:rPr>
              <w:t>集体（</w:t>
            </w:r>
            <w:r>
              <w:rPr>
                <w:rFonts w:asciiTheme="majorEastAsia" w:hAnsiTheme="majorEastAsia" w:eastAsiaTheme="majorEastAsia"/>
                <w:kern w:val="2"/>
                <w:sz w:val="28"/>
                <w:szCs w:val="28"/>
              </w:rPr>
              <w:t>陶德言、</w:t>
            </w:r>
            <w:r>
              <w:rPr>
                <w:rFonts w:hint="eastAsia" w:asciiTheme="majorEastAsia" w:hAnsiTheme="majorEastAsia" w:eastAsiaTheme="majorEastAsia"/>
                <w:kern w:val="2"/>
                <w:sz w:val="28"/>
                <w:szCs w:val="28"/>
              </w:rPr>
              <w:t>陈浩、刘彤、</w:t>
            </w:r>
            <w:r>
              <w:rPr>
                <w:rFonts w:asciiTheme="majorEastAsia" w:hAnsiTheme="majorEastAsia" w:eastAsiaTheme="majorEastAsia"/>
                <w:kern w:val="2"/>
                <w:sz w:val="28"/>
                <w:szCs w:val="28"/>
              </w:rPr>
              <w:t>程增宾、</w:t>
            </w:r>
            <w:r>
              <w:rPr>
                <w:rFonts w:hint="eastAsia" w:asciiTheme="majorEastAsia" w:hAnsiTheme="majorEastAsia" w:eastAsiaTheme="majorEastAsia"/>
                <w:kern w:val="2"/>
                <w:sz w:val="28"/>
                <w:szCs w:val="28"/>
              </w:rPr>
              <w:t>安鹏</w:t>
            </w:r>
            <w:r>
              <w:rPr>
                <w:rFonts w:asciiTheme="majorEastAsia" w:hAnsiTheme="majorEastAsia" w:eastAsiaTheme="majorEastAsia"/>
                <w:kern w:val="2"/>
                <w:sz w:val="28"/>
                <w:szCs w:val="28"/>
              </w:rPr>
              <w:t>、</w:t>
            </w:r>
            <w:r>
              <w:rPr>
                <w:rFonts w:hint="eastAsia" w:asciiTheme="majorEastAsia" w:hAnsiTheme="majorEastAsia" w:eastAsiaTheme="majorEastAsia"/>
                <w:kern w:val="2"/>
                <w:sz w:val="28"/>
                <w:szCs w:val="28"/>
              </w:rPr>
              <w:t>程瑞、郭建业、</w:t>
            </w:r>
            <w:r>
              <w:rPr>
                <w:rFonts w:asciiTheme="majorEastAsia" w:hAnsiTheme="majorEastAsia" w:eastAsiaTheme="majorEastAsia"/>
                <w:kern w:val="2"/>
                <w:sz w:val="28"/>
                <w:szCs w:val="28"/>
              </w:rPr>
              <w:t>李颖、</w:t>
            </w:r>
            <w:r>
              <w:rPr>
                <w:rFonts w:hint="eastAsia" w:asciiTheme="majorEastAsia" w:hAnsiTheme="majorEastAsia" w:eastAsiaTheme="majorEastAsia"/>
                <w:kern w:val="2"/>
                <w:sz w:val="28"/>
                <w:szCs w:val="28"/>
              </w:rPr>
              <w:t>王其冰</w:t>
            </w:r>
            <w:r>
              <w:rPr>
                <w:rFonts w:asciiTheme="majorEastAsia" w:hAnsiTheme="majorEastAsia" w:eastAsiaTheme="majorEastAsia"/>
                <w:kern w:val="2"/>
                <w:sz w:val="28"/>
                <w:szCs w:val="28"/>
              </w:rPr>
              <w:t>、朱彤、</w:t>
            </w:r>
            <w:r>
              <w:rPr>
                <w:rFonts w:hint="eastAsia" w:asciiTheme="majorEastAsia" w:hAnsiTheme="majorEastAsia" w:eastAsiaTheme="majorEastAsia"/>
                <w:kern w:val="2"/>
                <w:sz w:val="28"/>
                <w:szCs w:val="28"/>
              </w:rPr>
              <w:t>田宝剑</w:t>
            </w:r>
            <w:r>
              <w:rPr>
                <w:rFonts w:asciiTheme="majorEastAsia" w:hAnsiTheme="majorEastAsia" w:eastAsiaTheme="majorEastAsia"/>
                <w:kern w:val="2"/>
                <w:sz w:val="28"/>
                <w:szCs w:val="28"/>
              </w:rPr>
              <w:t>、连国辉、宋宇</w:t>
            </w:r>
            <w:r>
              <w:rPr>
                <w:rFonts w:hint="eastAsia" w:asciiTheme="majorEastAsia" w:hAnsiTheme="majorEastAsia" w:eastAsiaTheme="majorEastAsia"/>
                <w:kern w:val="2"/>
                <w:sz w:val="28"/>
                <w:szCs w:val="28"/>
              </w:rPr>
              <w:t>、</w:t>
            </w:r>
            <w:r>
              <w:rPr>
                <w:rFonts w:asciiTheme="majorEastAsia" w:hAnsiTheme="majorEastAsia" w:eastAsiaTheme="majorEastAsia"/>
                <w:kern w:val="2"/>
                <w:sz w:val="28"/>
                <w:szCs w:val="28"/>
              </w:rPr>
              <w:t>范蕾</w:t>
            </w:r>
            <w:r>
              <w:rPr>
                <w:rFonts w:hint="eastAsia" w:asciiTheme="majorEastAsia" w:hAnsiTheme="majorEastAsia" w:eastAsiaTheme="majorEastAsia"/>
                <w:kern w:val="2"/>
                <w:sz w:val="28"/>
                <w:szCs w:val="28"/>
              </w:rPr>
              <w:t>、</w:t>
            </w:r>
            <w:r>
              <w:rPr>
                <w:rFonts w:asciiTheme="majorEastAsia" w:hAnsiTheme="majorEastAsia" w:eastAsiaTheme="majorEastAsia"/>
                <w:kern w:val="2"/>
                <w:sz w:val="28"/>
                <w:szCs w:val="28"/>
              </w:rPr>
              <w:t>沈丹琳、张</w:t>
            </w:r>
            <w:r>
              <w:rPr>
                <w:rFonts w:hint="eastAsia" w:asciiTheme="majorEastAsia" w:hAnsiTheme="majorEastAsia" w:eastAsiaTheme="majorEastAsia"/>
                <w:kern w:val="2"/>
                <w:sz w:val="28"/>
                <w:szCs w:val="28"/>
              </w:rPr>
              <w:t>伊</w:t>
            </w:r>
            <w:r>
              <w:rPr>
                <w:rFonts w:asciiTheme="majorEastAsia" w:hAnsiTheme="majorEastAsia" w:eastAsiaTheme="majorEastAsia"/>
                <w:kern w:val="2"/>
                <w:sz w:val="28"/>
                <w:szCs w:val="28"/>
              </w:rPr>
              <w:t>宇</w:t>
            </w:r>
            <w:r>
              <w:rPr>
                <w:rFonts w:hint="eastAsia" w:asciiTheme="majorEastAsia" w:hAnsiTheme="majorEastAsia" w:eastAsiaTheme="majorEastAsia"/>
                <w:kern w:val="2"/>
                <w:sz w:val="28"/>
                <w:szCs w:val="28"/>
              </w:rPr>
              <w:t>、陈锐</w:t>
            </w:r>
            <w:r>
              <w:rPr>
                <w:rFonts w:asciiTheme="majorEastAsia" w:hAnsiTheme="majorEastAsia" w:eastAsiaTheme="majorEastAsia"/>
                <w:kern w:val="2"/>
                <w:sz w:val="28"/>
                <w:szCs w:val="28"/>
              </w:rPr>
              <w:t>、洪琦</w:t>
            </w:r>
            <w:r>
              <w:rPr>
                <w:rFonts w:hint="eastAsia" w:asciiTheme="majorEastAsia" w:hAnsiTheme="majorEastAsia" w:eastAsiaTheme="majorEastAsia"/>
                <w:kern w:val="2"/>
                <w:sz w:val="28"/>
                <w:szCs w:val="28"/>
              </w:rPr>
              <w:t>、洪慕瑄、窦晨、孙彦德、邓媛、夏子怡、谢来）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2" w:type="pct"/>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1379" w:type="pct"/>
            <w:gridSpan w:val="3"/>
            <w:tcBorders>
              <w:top w:val="single" w:color="auto" w:sz="4" w:space="0"/>
              <w:left w:val="single" w:color="auto" w:sz="4" w:space="0"/>
              <w:bottom w:val="single" w:color="auto" w:sz="4" w:space="0"/>
              <w:right w:val="single" w:color="auto" w:sz="4" w:space="0"/>
            </w:tcBorders>
            <w:vAlign w:val="center"/>
          </w:tcPr>
          <w:p>
            <w:pPr>
              <w:widowControl w:val="0"/>
              <w:rPr>
                <w:rFonts w:asciiTheme="majorEastAsia" w:hAnsiTheme="majorEastAsia" w:eastAsiaTheme="majorEastAsia"/>
                <w:color w:val="808080"/>
                <w:kern w:val="2"/>
                <w:sz w:val="28"/>
                <w:szCs w:val="28"/>
              </w:rPr>
            </w:pPr>
            <w:r>
              <w:rPr>
                <w:rFonts w:hint="eastAsia" w:asciiTheme="majorEastAsia" w:hAnsiTheme="majorEastAsia" w:eastAsiaTheme="majorEastAsia"/>
                <w:kern w:val="2"/>
                <w:sz w:val="28"/>
                <w:szCs w:val="28"/>
              </w:rPr>
              <w:t>参考消息报社</w:t>
            </w:r>
          </w:p>
        </w:tc>
        <w:tc>
          <w:tcPr>
            <w:tcW w:w="75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rPr>
            </w:pPr>
            <w:r>
              <w:rPr>
                <w:rFonts w:hint="eastAsia" w:ascii="华文中宋" w:hAnsi="华文中宋" w:eastAsia="华文中宋"/>
              </w:rPr>
              <w:t>刊播日期</w:t>
            </w:r>
          </w:p>
        </w:tc>
        <w:tc>
          <w:tcPr>
            <w:tcW w:w="205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80" w:firstLineChars="200"/>
              <w:rPr>
                <w:rFonts w:asciiTheme="majorEastAsia" w:hAnsiTheme="majorEastAsia" w:eastAsiaTheme="majorEastAsia"/>
                <w:color w:val="808080"/>
                <w:kern w:val="2"/>
              </w:rPr>
            </w:pPr>
            <w:r>
              <w:rPr>
                <w:rFonts w:hint="eastAsia" w:asciiTheme="majorEastAsia" w:hAnsiTheme="majorEastAsia" w:eastAsiaTheme="majorEastAsia"/>
                <w:kern w:val="2"/>
              </w:rPr>
              <w:t>2020年9月7日至2020年11月7日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2" w:type="pct"/>
            <w:gridSpan w:val="3"/>
            <w:vAlign w:val="center"/>
          </w:tcPr>
          <w:p>
            <w:pPr>
              <w:spacing w:line="400" w:lineRule="exact"/>
              <w:jc w:val="center"/>
              <w:rPr>
                <w:rFonts w:ascii="华文中宋" w:hAnsi="华文中宋" w:eastAsia="华文中宋"/>
              </w:rPr>
            </w:pPr>
            <w:r>
              <w:rPr>
                <w:rFonts w:hint="eastAsia" w:ascii="华文中宋" w:hAnsi="华文中宋" w:eastAsia="华文中宋"/>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(名称版次)</w:t>
            </w:r>
          </w:p>
        </w:tc>
        <w:tc>
          <w:tcPr>
            <w:tcW w:w="1379" w:type="pct"/>
            <w:gridSpan w:val="3"/>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808080"/>
                <w:szCs w:val="21"/>
              </w:rPr>
            </w:pPr>
            <w:r>
              <w:rPr>
                <w:rFonts w:hint="eastAsia" w:asciiTheme="majorEastAsia" w:hAnsiTheme="majorEastAsia" w:eastAsiaTheme="majorEastAsia"/>
                <w:szCs w:val="21"/>
              </w:rPr>
              <w:t>第11版， 第11版、第5版</w:t>
            </w:r>
          </w:p>
        </w:tc>
        <w:tc>
          <w:tcPr>
            <w:tcW w:w="75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205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560" w:firstLineChars="200"/>
              <w:rPr>
                <w:rFonts w:ascii="仿宋" w:hAnsi="仿宋" w:eastAsia="仿宋"/>
                <w:color w:val="808080"/>
                <w:w w:val="95"/>
                <w:sz w:val="28"/>
                <w:szCs w:val="28"/>
              </w:rPr>
            </w:pPr>
            <w:r>
              <w:rPr>
                <w:rFonts w:hint="eastAsia" w:ascii="仿宋" w:hAnsi="仿宋" w:eastAsia="仿宋"/>
                <w:kern w:val="2"/>
                <w:sz w:val="28"/>
                <w:szCs w:val="28"/>
              </w:rPr>
              <w:t>3198、2694、4245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2" w:hRule="exact"/>
          <w:jc w:val="center"/>
        </w:trPr>
        <w:tc>
          <w:tcPr>
            <w:tcW w:w="490" w:type="pct"/>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4509" w:type="pct"/>
            <w:gridSpan w:val="12"/>
            <w:tcBorders>
              <w:top w:val="single" w:color="auto" w:sz="4" w:space="0"/>
              <w:left w:val="single" w:color="auto" w:sz="4" w:space="0"/>
              <w:bottom w:val="single" w:color="auto" w:sz="4" w:space="0"/>
              <w:right w:val="single" w:color="auto" w:sz="4" w:space="0"/>
            </w:tcBorders>
          </w:tcPr>
          <w:p>
            <w:pPr>
              <w:ind w:firstLine="480" w:firstLineChars="200"/>
            </w:pPr>
            <w:r>
              <w:rPr>
                <w:rFonts w:hint="eastAsia"/>
              </w:rPr>
              <w:t>为纪念中国人民志愿军抗美援朝出国作战70周年，参考消息报社与新华社辽宁分社重磅推出“致敬最可爱的人——纪念抗美援朝70周年·老兵访谈录”大型融媒专题报道。该专题以“70年70人”创意策划为引领，共推出70位老兵访谈录。系列报道以生动的讲述、深情的笔墨、丰富的细节塑造舍生忘死的抗美援朝英雄群像，以可触可感的方式弘扬伟大抗美援朝精神，是一组立意高、创意新、规模大、影响广、反响好的纪念抗美援朝70周年精品力作。</w:t>
            </w:r>
          </w:p>
          <w:p>
            <w:pPr>
              <w:ind w:firstLine="482" w:firstLineChars="200"/>
            </w:pPr>
            <w:r>
              <w:rPr>
                <w:rFonts w:hint="eastAsia"/>
                <w:b/>
                <w:bCs/>
              </w:rPr>
              <w:t>第一，与时间赛跑，对抗美援朝老战士进行“抢救性”采访报道，为历史存照，意义重大。</w:t>
            </w:r>
            <w:r>
              <w:rPr>
                <w:rFonts w:hint="eastAsia"/>
              </w:rPr>
              <w:t>目前健在的志愿军老兵都已进入耄耋之年，记录这些亲历者对这场战争的独特感受和记忆，显得尤为紧迫。该专题提前半年多进行策划，广泛联系多个部门，多方寻找、精心选取70位在世志愿军老战士，克服疫情等各种困难，对他们进行深入访谈。一些老兵在接受采访后不久就与世长辞，报道为他们留下大量珍贵的音像资料。</w:t>
            </w:r>
          </w:p>
          <w:p>
            <w:pPr>
              <w:ind w:firstLine="482" w:firstLineChars="200"/>
            </w:pPr>
            <w:r>
              <w:rPr>
                <w:rFonts w:hint="eastAsia"/>
                <w:b/>
                <w:bCs/>
              </w:rPr>
              <w:t>第二，英雄人物覆盖面广、代表性强、事迹典型，塑造了敢于亮剑、浴血沙场的志愿军英雄群像。</w:t>
            </w:r>
            <w:r>
              <w:rPr>
                <w:rFonts w:hint="eastAsia"/>
              </w:rPr>
              <w:t>访谈对象中既有一线奋勇杀敌的步兵、炮兵、坦克兵，也有与敌人“空中拼刺刀”的飞行员、保障“钢铁运输线”的汽车兵和机车司机，还有通信兵、医护人员等等，包括了抗美援朝各领域英雄模范。通过他们的讲述，全景式展现战争原貌，全方位塑造“最可爱的人”的英勇形象。</w:t>
            </w:r>
          </w:p>
          <w:p>
            <w:pPr>
              <w:ind w:firstLine="482" w:firstLineChars="200"/>
            </w:pPr>
            <w:r>
              <w:rPr>
                <w:rFonts w:hint="eastAsia"/>
                <w:b/>
                <w:bCs/>
              </w:rPr>
              <w:t>第三，生动讲述战场传奇，内容有血有肉，细节丰富，披露众多震撼人心的英雄故事。</w:t>
            </w:r>
            <w:r>
              <w:rPr>
                <w:rFonts w:hint="eastAsia"/>
              </w:rPr>
              <w:t>记者对较为冗杂的访谈原始资料进行系统化、结构化处理，最终形成一篇篇结构精巧、文采飞扬的人物通讯。报道以富有个人色彩的“口述历史”形式，带领读者重回历史现场，重温经典战役，让历史变得鲜活生动，让抗美援朝精神更加可触可感，使报道既饱含思想性又深具可读性。</w:t>
            </w:r>
          </w:p>
          <w:p>
            <w:pPr>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exact"/>
          <w:jc w:val="center"/>
        </w:trPr>
        <w:tc>
          <w:tcPr>
            <w:tcW w:w="490" w:type="pct"/>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4509" w:type="pct"/>
            <w:gridSpan w:val="12"/>
            <w:tcBorders>
              <w:top w:val="single" w:color="auto" w:sz="4" w:space="0"/>
              <w:left w:val="single" w:color="auto" w:sz="4" w:space="0"/>
              <w:bottom w:val="single" w:color="auto" w:sz="4" w:space="0"/>
              <w:right w:val="single" w:color="auto" w:sz="4" w:space="0"/>
            </w:tcBorders>
          </w:tcPr>
          <w:p>
            <w:pPr>
              <w:ind w:firstLine="480" w:firstLineChars="200"/>
            </w:pPr>
            <w:r>
              <w:rPr>
                <w:rFonts w:hint="eastAsia"/>
              </w:rPr>
              <w:t>本专题将传统报道形式和新媒体报道形式相结合，在采访中文字、摄影、音视频记者全程参与，一次采集，全媒体呈现。</w:t>
            </w:r>
            <w:r>
              <w:rPr>
                <w:rFonts w:hint="eastAsia"/>
                <w:b/>
              </w:rPr>
              <w:t>《参考消息》以系列形式整版推出，参考消息网站、客户端、微信公众号、微博以及新华社客户端等新媒体矩阵同步以专栏形式推出，对不同受众群体产生巨大影响，形成良好传播效果。</w:t>
            </w:r>
          </w:p>
          <w:p>
            <w:pPr>
              <w:ind w:firstLine="480" w:firstLineChars="200"/>
            </w:pPr>
            <w:r>
              <w:rPr>
                <w:rFonts w:hint="eastAsia"/>
              </w:rPr>
              <w:t>《参考消息》每天用一个整版的版面，推出一位或两位老兵访谈，连续刊发两个月时间。在版面配发网端专题二维码，形成报网联动。</w:t>
            </w:r>
          </w:p>
          <w:p>
            <w:pPr>
              <w:ind w:firstLine="480" w:firstLineChars="200"/>
            </w:pPr>
            <w:r>
              <w:rPr>
                <w:rFonts w:hint="eastAsia"/>
              </w:rPr>
              <w:t>参考消息新媒体播出专题系列短视频，老兵出镜声情并茂讲述战场往事，慷慨激昂高唱志愿军战歌、《我的祖国》等经典歌曲，中间穿插珍贵历史影像，在历史与现实的时空转换中把受众带到炮火连天的战场，带给观众极强的视觉冲击力和感染力。</w:t>
            </w:r>
          </w:p>
          <w:p>
            <w:pPr>
              <w:ind w:firstLine="480" w:firstLineChars="200"/>
            </w:pPr>
            <w:r>
              <w:rPr>
                <w:rFonts w:hint="eastAsia"/>
              </w:rPr>
              <w:t>参考消息微博平台将专题报道重新包装，设计老兵档案，选摘文章精华，重点推介，加强互动。参考消息微信公众号刊发后，10万+稿件30多篇，读者留言数万条，“致敬英雄”“泪目”等成为高频词汇。</w:t>
            </w:r>
          </w:p>
          <w:p>
            <w:pPr>
              <w:ind w:firstLine="482" w:firstLineChars="200"/>
              <w:rPr>
                <w:rFonts w:ascii="仿宋" w:hAnsi="仿宋" w:eastAsia="仿宋"/>
                <w:color w:val="808080"/>
                <w:kern w:val="2"/>
                <w:sz w:val="21"/>
                <w:szCs w:val="21"/>
              </w:rPr>
            </w:pPr>
            <w:r>
              <w:rPr>
                <w:rFonts w:hint="eastAsia"/>
                <w:b/>
              </w:rPr>
              <w:t>多篇报道在新华社客户端短时间浏览量超过100万，新媒体矩阵总浏览量达2亿。</w:t>
            </w:r>
            <w:r>
              <w:rPr>
                <w:rFonts w:hint="eastAsia"/>
              </w:rPr>
              <w:t>有读者留言：“这是抢救式的报道！意义重大！”</w:t>
            </w:r>
            <w:r>
              <w:rPr>
                <w:rFonts w:hint="eastAsia"/>
                <w:kern w:val="2"/>
                <w:sz w:val="30"/>
                <w:szCs w:val="30"/>
              </w:rPr>
              <w:t xml:space="preserve"> </w:t>
            </w:r>
            <w:r>
              <w:rPr>
                <w:rFonts w:hint="eastAsia"/>
              </w:rPr>
              <w:t>“用今天的好时代告慰英雄，他们永远是不朽的丰碑！”</w:t>
            </w:r>
            <w:r>
              <w:rPr>
                <w:rFonts w:ascii="仿宋" w:hAnsi="仿宋" w:eastAsia="仿宋"/>
                <w:color w:val="808080"/>
                <w:kern w:val="2"/>
                <w:sz w:val="21"/>
                <w:szCs w:val="21"/>
              </w:rPr>
              <w:t xml:space="preserve"> </w:t>
            </w:r>
          </w:p>
          <w:p>
            <w:pPr>
              <w:ind w:firstLine="420" w:firstLineChars="200"/>
              <w:rPr>
                <w:rFonts w:ascii="仿宋" w:hAnsi="仿宋" w:eastAsia="仿宋"/>
                <w:color w:val="80808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exact"/>
          <w:jc w:val="center"/>
        </w:trPr>
        <w:tc>
          <w:tcPr>
            <w:tcW w:w="490" w:type="pct"/>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4509" w:type="pct"/>
            <w:gridSpan w:val="12"/>
            <w:tcBorders>
              <w:top w:val="single" w:color="auto" w:sz="4" w:space="0"/>
              <w:left w:val="single" w:color="auto" w:sz="4" w:space="0"/>
              <w:bottom w:val="single" w:color="auto" w:sz="4" w:space="0"/>
              <w:right w:val="single" w:color="auto" w:sz="4" w:space="0"/>
            </w:tcBorders>
          </w:tcPr>
          <w:p>
            <w:pPr>
              <w:ind w:firstLine="480" w:firstLineChars="200"/>
            </w:pPr>
            <w:r>
              <w:rPr>
                <w:rFonts w:hint="eastAsia"/>
              </w:rPr>
              <w:t>报道刊发后引发各界强烈反响，</w:t>
            </w:r>
            <w:r>
              <w:rPr>
                <w:rFonts w:hint="eastAsia" w:ascii="宋体" w:hAnsi="宋体"/>
              </w:rPr>
              <w:t>不少主流网站均在显著位置转发，红旗出版社联系报社将报道内容结集出版。</w:t>
            </w:r>
            <w:r>
              <w:rPr>
                <w:rFonts w:hint="eastAsia"/>
              </w:rPr>
              <w:t>受众普遍认为，报道追忆历史、缅怀英雄，激荡起全体中国人炽烈的爱国热情，有助于凝聚中华民族不畏强敌的信心和勇气。</w:t>
            </w:r>
          </w:p>
          <w:p>
            <w:pPr>
              <w:ind w:firstLine="480" w:firstLineChars="200"/>
            </w:pPr>
            <w:r>
              <w:rPr>
                <w:rFonts w:hint="eastAsia"/>
              </w:rPr>
              <w:t>许多单位集体学习专题文章，众多读者给报社寄来与抗美援朝相关资料、推荐身边可采访报道的老兵，也有读者打电话说通过报道终于找到失散多年的老战友。年轻读者从报道中抚昔思今，忆苦思甜，领略和继承抗美援朝精神。</w:t>
            </w:r>
          </w:p>
          <w:p>
            <w:pPr>
              <w:ind w:firstLine="480" w:firstLineChars="200"/>
            </w:pPr>
            <w:r>
              <w:rPr>
                <w:rFonts w:hint="eastAsia"/>
              </w:rPr>
              <w:t>业内专家表示，系列报道让读者更加切实了解到抗美援朝战争的真实情况和老兵目前的生活状况，有效地弘扬了抗美援朝精神，为社会主义精神文明建设提供了新材料与范例。</w:t>
            </w:r>
          </w:p>
          <w:p>
            <w:pPr>
              <w:widowControl w:val="0"/>
              <w:ind w:firstLine="420" w:firstLineChars="200"/>
              <w:rPr>
                <w:rFonts w:ascii="仿宋" w:hAnsi="仿宋" w:eastAsia="仿宋"/>
                <w:color w:val="80808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exact"/>
          <w:jc w:val="center"/>
        </w:trPr>
        <w:tc>
          <w:tcPr>
            <w:tcW w:w="490" w:type="pct"/>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4509" w:type="pct"/>
            <w:gridSpan w:val="12"/>
            <w:tcBorders>
              <w:top w:val="single" w:color="auto" w:sz="4" w:space="0"/>
              <w:left w:val="single" w:color="auto" w:sz="4" w:space="0"/>
              <w:bottom w:val="single" w:color="auto" w:sz="4" w:space="0"/>
              <w:right w:val="single" w:color="auto" w:sz="4" w:space="0"/>
            </w:tcBorders>
          </w:tcPr>
          <w:p>
            <w:pPr>
              <w:ind w:firstLine="480" w:firstLineChars="200"/>
            </w:pPr>
            <w:r>
              <w:rPr>
                <w:rFonts w:hint="eastAsia"/>
              </w:rPr>
              <w:t xml:space="preserve"> “致敬最可爱的人——纪念抗美援朝70周年·老兵访谈录”大型融媒专题报道通过70位英雄人物访谈，运用丰富的历史细节、生动的笔触，再现“最可爱的人”动人心魄的英雄故事，引领人们追忆血与火的峥嵘岁月，有助于传承伟大的抗美援朝精神，扬我国威和军威，是宣传新中国史的生动教材，是弘扬抗美援朝伟大精神的鸿篇巨制，既具有重要的史料价值，又富有现实针对性和时代意义。</w:t>
            </w:r>
          </w:p>
          <w:p>
            <w:pPr>
              <w:ind w:firstLine="480" w:firstLineChars="200"/>
            </w:pPr>
          </w:p>
          <w:p>
            <w:pPr>
              <w:spacing w:line="360" w:lineRule="exact"/>
              <w:ind w:firstLine="828" w:firstLineChars="300"/>
              <w:rPr>
                <w:rFonts w:ascii="华文中宋" w:hAnsi="华文中宋" w:eastAsia="华文中宋"/>
                <w:spacing w:val="-2"/>
                <w:sz w:val="28"/>
              </w:rPr>
            </w:pPr>
            <w:r>
              <w:rPr>
                <w:rFonts w:hint="eastAsia" w:ascii="华文中宋" w:hAnsi="华文中宋" w:eastAsia="华文中宋"/>
                <w:spacing w:val="-2"/>
                <w:sz w:val="28"/>
              </w:rPr>
              <w:t>签名：</w:t>
            </w:r>
            <w:r>
              <w:rPr>
                <w:rFonts w:ascii="华文中宋" w:hAnsi="华文中宋" w:eastAsia="华文中宋"/>
                <w:spacing w:val="-2"/>
                <w:sz w:val="28"/>
              </w:rPr>
              <w:t xml:space="preserve"> </w:t>
            </w:r>
            <w:r>
              <w:rPr>
                <w:rFonts w:hint="eastAsia" w:ascii="华文中宋" w:hAnsi="华文中宋" w:eastAsia="华文中宋"/>
                <w:spacing w:val="-2"/>
                <w:sz w:val="28"/>
              </w:rPr>
              <w:t>陶德言</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4月</w:t>
            </w:r>
            <w:r>
              <w:rPr>
                <w:rFonts w:ascii="华文中宋" w:hAnsi="华文中宋" w:eastAsia="华文中宋"/>
                <w:sz w:val="28"/>
              </w:rPr>
              <w:t xml:space="preserve"> </w:t>
            </w:r>
            <w:r>
              <w:rPr>
                <w:rFonts w:hint="eastAsia" w:ascii="华文中宋" w:hAnsi="华文中宋" w:eastAsia="华文中宋"/>
                <w:sz w:val="28"/>
              </w:rPr>
              <w:t>15</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061" w:type="pct"/>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1394"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田宝剑</w:t>
            </w:r>
          </w:p>
        </w:tc>
        <w:tc>
          <w:tcPr>
            <w:tcW w:w="508" w:type="pct"/>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2035" w:type="pct"/>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13520543563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34" w:type="pct"/>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1338" w:type="pct"/>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63076826</w:t>
            </w:r>
          </w:p>
        </w:tc>
        <w:tc>
          <w:tcPr>
            <w:tcW w:w="582" w:type="pct"/>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2544" w:type="pct"/>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ascii="华文中宋" w:hAnsi="华文中宋" w:eastAsia="华文中宋"/>
              </w:rPr>
              <w:t>xiaoxitekan@163.com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exact"/>
          <w:jc w:val="center"/>
        </w:trPr>
        <w:tc>
          <w:tcPr>
            <w:tcW w:w="534" w:type="pct"/>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2429" w:type="pct"/>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北京市西城区宣武门西大街57号参考消息报社</w:t>
            </w:r>
          </w:p>
        </w:tc>
        <w:tc>
          <w:tcPr>
            <w:tcW w:w="508" w:type="pct"/>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1526" w:type="pct"/>
            <w:gridSpan w:val="2"/>
            <w:tcBorders>
              <w:left w:val="single" w:color="auto" w:sz="4" w:space="0"/>
              <w:bottom w:val="single" w:color="auto" w:sz="4" w:space="0"/>
              <w:right w:val="single" w:color="auto" w:sz="4" w:space="0"/>
            </w:tcBorders>
          </w:tcPr>
          <w:p>
            <w:pPr>
              <w:snapToGrid w:val="0"/>
              <w:spacing w:line="240" w:lineRule="exact"/>
              <w:jc w:val="both"/>
              <w:rPr>
                <w:rFonts w:ascii="华文中宋" w:hAnsi="华文中宋" w:eastAsia="华文中宋"/>
              </w:rPr>
            </w:pPr>
          </w:p>
          <w:p>
            <w:pPr>
              <w:snapToGrid w:val="0"/>
              <w:spacing w:line="240" w:lineRule="exact"/>
              <w:jc w:val="both"/>
              <w:rPr>
                <w:rFonts w:ascii="华文中宋" w:hAnsi="华文中宋" w:eastAsia="华文中宋"/>
              </w:rPr>
            </w:pPr>
            <w:r>
              <w:rPr>
                <w:rFonts w:hint="eastAsia" w:ascii="华文中宋" w:hAnsi="华文中宋" w:eastAsia="华文中宋"/>
              </w:rPr>
              <w:t>100803</w:t>
            </w: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0208BA"/>
    <w:rsid w:val="0009059A"/>
    <w:rsid w:val="00102B11"/>
    <w:rsid w:val="00130C97"/>
    <w:rsid w:val="001410C9"/>
    <w:rsid w:val="00222B9E"/>
    <w:rsid w:val="002A62CD"/>
    <w:rsid w:val="002F15C5"/>
    <w:rsid w:val="002F2518"/>
    <w:rsid w:val="002F53DE"/>
    <w:rsid w:val="004E7C89"/>
    <w:rsid w:val="005030FD"/>
    <w:rsid w:val="00522B1C"/>
    <w:rsid w:val="00604365"/>
    <w:rsid w:val="006A14E9"/>
    <w:rsid w:val="006B3166"/>
    <w:rsid w:val="009549CF"/>
    <w:rsid w:val="00966431"/>
    <w:rsid w:val="009D33C4"/>
    <w:rsid w:val="00A14B51"/>
    <w:rsid w:val="00A357E7"/>
    <w:rsid w:val="00A446E8"/>
    <w:rsid w:val="00B43BC3"/>
    <w:rsid w:val="00B7190A"/>
    <w:rsid w:val="00B81673"/>
    <w:rsid w:val="00B85F96"/>
    <w:rsid w:val="00C11FF6"/>
    <w:rsid w:val="00C13BA4"/>
    <w:rsid w:val="00C70433"/>
    <w:rsid w:val="00C7678D"/>
    <w:rsid w:val="00CB68C5"/>
    <w:rsid w:val="00D85003"/>
    <w:rsid w:val="00D95AEB"/>
    <w:rsid w:val="00DD367B"/>
    <w:rsid w:val="00E80ACA"/>
    <w:rsid w:val="00EB5DB5"/>
    <w:rsid w:val="00F64F9B"/>
    <w:rsid w:val="20D26B19"/>
    <w:rsid w:val="2F05269D"/>
    <w:rsid w:val="36684D08"/>
    <w:rsid w:val="404312B4"/>
    <w:rsid w:val="59CF6689"/>
    <w:rsid w:val="652077B2"/>
    <w:rsid w:val="693D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link w:val="11"/>
    <w:unhideWhenUsed/>
    <w:uiPriority w:val="99"/>
    <w:pPr>
      <w:widowControl w:val="0"/>
      <w:spacing w:after="120"/>
      <w:jc w:val="both"/>
    </w:pPr>
    <w:rPr>
      <w:kern w:val="2"/>
      <w:sz w:val="16"/>
      <w:szCs w:val="16"/>
      <w:lang w:val="zh-CN"/>
    </w:rPr>
  </w:style>
  <w:style w:type="paragraph" w:styleId="3">
    <w:name w:val="footer"/>
    <w:basedOn w:val="1"/>
    <w:link w:val="8"/>
    <w:qFormat/>
    <w:uiPriority w:val="99"/>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lang w:val="zh-CN"/>
    </w:rPr>
  </w:style>
  <w:style w:type="character" w:customStyle="1" w:styleId="7">
    <w:name w:val="页脚 Char"/>
    <w:basedOn w:val="6"/>
    <w:semiHidden/>
    <w:uiPriority w:val="99"/>
    <w:rPr>
      <w:rFonts w:ascii="Times New Roman" w:hAnsi="Times New Roman" w:eastAsia="宋体" w:cs="Times New Roman"/>
      <w:kern w:val="0"/>
      <w:sz w:val="18"/>
      <w:szCs w:val="18"/>
    </w:rPr>
  </w:style>
  <w:style w:type="character" w:customStyle="1" w:styleId="8">
    <w:name w:val="页脚 Char1"/>
    <w:link w:val="3"/>
    <w:uiPriority w:val="99"/>
    <w:rPr>
      <w:rFonts w:ascii="Times New Roman" w:hAnsi="Times New Roman" w:eastAsia="宋体" w:cs="Times New Roman"/>
      <w:kern w:val="0"/>
      <w:sz w:val="18"/>
      <w:szCs w:val="18"/>
    </w:rPr>
  </w:style>
  <w:style w:type="character" w:customStyle="1" w:styleId="9">
    <w:name w:val="页眉 Char"/>
    <w:basedOn w:val="6"/>
    <w:link w:val="4"/>
    <w:qFormat/>
    <w:uiPriority w:val="0"/>
    <w:rPr>
      <w:rFonts w:ascii="Times New Roman" w:hAnsi="Times New Roman" w:eastAsia="宋体" w:cs="Times New Roman"/>
      <w:kern w:val="0"/>
      <w:sz w:val="18"/>
      <w:szCs w:val="18"/>
      <w:lang w:val="zh-CN" w:eastAsia="zh-CN"/>
    </w:rPr>
  </w:style>
  <w:style w:type="character" w:customStyle="1" w:styleId="10">
    <w:name w:val="页眉 Char1"/>
    <w:basedOn w:val="6"/>
    <w:semiHidden/>
    <w:qFormat/>
    <w:uiPriority w:val="99"/>
    <w:rPr>
      <w:rFonts w:ascii="Times New Roman" w:hAnsi="Times New Roman" w:eastAsia="宋体" w:cs="Times New Roman"/>
      <w:kern w:val="0"/>
      <w:sz w:val="18"/>
      <w:szCs w:val="18"/>
    </w:rPr>
  </w:style>
  <w:style w:type="character" w:customStyle="1" w:styleId="11">
    <w:name w:val="正文文本 3 Char"/>
    <w:basedOn w:val="6"/>
    <w:link w:val="2"/>
    <w:qFormat/>
    <w:uiPriority w:val="99"/>
    <w:rPr>
      <w:rFonts w:ascii="Times New Roman" w:hAnsi="Times New Roman" w:eastAsia="宋体" w:cs="Times New Roman"/>
      <w:sz w:val="16"/>
      <w:szCs w:val="16"/>
      <w:lang w:val="zh-CN" w:eastAsia="zh-CN"/>
    </w:rPr>
  </w:style>
  <w:style w:type="character" w:customStyle="1" w:styleId="12">
    <w:name w:val="正文文本 3 Char1"/>
    <w:basedOn w:val="6"/>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343</Words>
  <Characters>1961</Characters>
  <Lines>16</Lines>
  <Paragraphs>4</Paragraphs>
  <TotalTime>316</TotalTime>
  <ScaleCrop>false</ScaleCrop>
  <LinksUpToDate>false</LinksUpToDate>
  <CharactersWithSpaces>2300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2021-04-18T02:50:00Z</dcterms:created>
  <dc:creator>张桂明</dc:creator>
  <cp:lastModifiedBy>Ch</cp:lastModifiedBy>
  <cp:lastPrinted>2021-04-21T02:47:00Z</cp:lastPrinted>
  <dcterms:modified xsi:type="dcterms:W3CDTF">2021-05-29T10:02:23Z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390D8F371A1549868C71B7DF4FF7DE91</vt:lpwstr>
  </property>
</Properties>
</file>